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一、昌黎县人民政府办公室本级收支预算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一、昌黎县人民政府办公室本级收支预算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434001昌黎县人民政府办公室本级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752.45</w:t>
            </w:r>
          </w:p>
        </w:tc>
        <w:tc>
          <w:tcPr>
            <w:tcW w:w="4535" w:type="dxa"/>
            <w:vAlign w:val="center"/>
          </w:tcPr>
          <w:p>
            <w:pPr>
              <w:pStyle w:val="12"/>
            </w:pPr>
            <w:r>
              <w:t>一、一般公共服务支出</w:t>
            </w:r>
          </w:p>
        </w:tc>
        <w:tc>
          <w:tcPr>
            <w:tcW w:w="2126" w:type="dxa"/>
            <w:vAlign w:val="center"/>
          </w:tcPr>
          <w:p>
            <w:pPr>
              <w:pStyle w:val="11"/>
            </w:pPr>
            <w:r>
              <w:t>620.03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65.61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33.73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33.07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752.45</w:t>
            </w:r>
          </w:p>
        </w:tc>
        <w:tc>
          <w:tcPr>
            <w:tcW w:w="4535" w:type="dxa"/>
            <w:vAlign w:val="center"/>
          </w:tcPr>
          <w:p>
            <w:pPr>
              <w:pStyle w:val="14"/>
            </w:pPr>
            <w:r>
              <w:t>本年支出合计</w:t>
            </w:r>
          </w:p>
        </w:tc>
        <w:tc>
          <w:tcPr>
            <w:tcW w:w="2126" w:type="dxa"/>
            <w:vAlign w:val="center"/>
          </w:tcPr>
          <w:p>
            <w:pPr>
              <w:pStyle w:val="15"/>
            </w:pPr>
            <w:r>
              <w:t>752.45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752.45</w:t>
            </w:r>
          </w:p>
        </w:tc>
        <w:tc>
          <w:tcPr>
            <w:tcW w:w="4535" w:type="dxa"/>
            <w:vAlign w:val="center"/>
          </w:tcPr>
          <w:p>
            <w:pPr>
              <w:pStyle w:val="14"/>
            </w:pPr>
            <w:r>
              <w:t>支出总计</w:t>
            </w:r>
          </w:p>
        </w:tc>
        <w:tc>
          <w:tcPr>
            <w:tcW w:w="2126" w:type="dxa"/>
            <w:vAlign w:val="center"/>
          </w:tcPr>
          <w:p>
            <w:pPr>
              <w:pStyle w:val="15"/>
            </w:pPr>
            <w:r>
              <w:t>752.45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434001昌黎县人民政府办公室本级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752.45</w:t>
            </w:r>
          </w:p>
        </w:tc>
        <w:tc>
          <w:tcPr>
            <w:tcW w:w="1134" w:type="dxa"/>
            <w:vAlign w:val="center"/>
          </w:tcPr>
          <w:p>
            <w:pPr>
              <w:pStyle w:val="15"/>
            </w:pPr>
            <w:r>
              <w:t>752.45</w:t>
            </w:r>
          </w:p>
        </w:tc>
        <w:tc>
          <w:tcPr>
            <w:tcW w:w="1134" w:type="dxa"/>
            <w:vAlign w:val="center"/>
          </w:tcPr>
          <w:p>
            <w:pPr>
              <w:pStyle w:val="15"/>
            </w:pPr>
            <w:r>
              <w:t>752.45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620.03</w:t>
            </w:r>
          </w:p>
        </w:tc>
        <w:tc>
          <w:tcPr>
            <w:tcW w:w="1134" w:type="dxa"/>
            <w:vAlign w:val="center"/>
          </w:tcPr>
          <w:p>
            <w:pPr>
              <w:pStyle w:val="11"/>
            </w:pPr>
            <w:r>
              <w:t>620.03</w:t>
            </w:r>
          </w:p>
        </w:tc>
        <w:tc>
          <w:tcPr>
            <w:tcW w:w="1134" w:type="dxa"/>
            <w:vAlign w:val="center"/>
          </w:tcPr>
          <w:p>
            <w:pPr>
              <w:pStyle w:val="11"/>
            </w:pPr>
            <w:r>
              <w:t>620.03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620.03</w:t>
            </w:r>
          </w:p>
        </w:tc>
        <w:tc>
          <w:tcPr>
            <w:tcW w:w="1134" w:type="dxa"/>
            <w:vAlign w:val="center"/>
          </w:tcPr>
          <w:p>
            <w:pPr>
              <w:pStyle w:val="11"/>
            </w:pPr>
            <w:r>
              <w:t>620.03</w:t>
            </w:r>
          </w:p>
        </w:tc>
        <w:tc>
          <w:tcPr>
            <w:tcW w:w="1134" w:type="dxa"/>
            <w:vAlign w:val="center"/>
          </w:tcPr>
          <w:p>
            <w:pPr>
              <w:pStyle w:val="11"/>
            </w:pPr>
            <w:r>
              <w:t>620.03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516.10</w:t>
            </w:r>
          </w:p>
        </w:tc>
        <w:tc>
          <w:tcPr>
            <w:tcW w:w="1134" w:type="dxa"/>
            <w:vAlign w:val="center"/>
          </w:tcPr>
          <w:p>
            <w:pPr>
              <w:pStyle w:val="11"/>
            </w:pPr>
            <w:r>
              <w:t>516.10</w:t>
            </w:r>
          </w:p>
        </w:tc>
        <w:tc>
          <w:tcPr>
            <w:tcW w:w="1134" w:type="dxa"/>
            <w:vAlign w:val="center"/>
          </w:tcPr>
          <w:p>
            <w:pPr>
              <w:pStyle w:val="11"/>
            </w:pPr>
            <w:r>
              <w:t>516.10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39.20</w:t>
            </w:r>
          </w:p>
        </w:tc>
        <w:tc>
          <w:tcPr>
            <w:tcW w:w="1134" w:type="dxa"/>
            <w:vAlign w:val="center"/>
          </w:tcPr>
          <w:p>
            <w:pPr>
              <w:pStyle w:val="11"/>
            </w:pPr>
            <w:r>
              <w:t>39.20</w:t>
            </w:r>
          </w:p>
        </w:tc>
        <w:tc>
          <w:tcPr>
            <w:tcW w:w="1134" w:type="dxa"/>
            <w:vAlign w:val="center"/>
          </w:tcPr>
          <w:p>
            <w:pPr>
              <w:pStyle w:val="11"/>
            </w:pPr>
            <w:r>
              <w:t>39.20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64.73</w:t>
            </w:r>
          </w:p>
        </w:tc>
        <w:tc>
          <w:tcPr>
            <w:tcW w:w="1134" w:type="dxa"/>
            <w:vAlign w:val="center"/>
          </w:tcPr>
          <w:p>
            <w:pPr>
              <w:pStyle w:val="11"/>
            </w:pPr>
            <w:r>
              <w:t>64.73</w:t>
            </w:r>
          </w:p>
        </w:tc>
        <w:tc>
          <w:tcPr>
            <w:tcW w:w="1134" w:type="dxa"/>
            <w:vAlign w:val="center"/>
          </w:tcPr>
          <w:p>
            <w:pPr>
              <w:pStyle w:val="11"/>
            </w:pPr>
            <w:r>
              <w:t>64.73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65.61</w:t>
            </w:r>
          </w:p>
        </w:tc>
        <w:tc>
          <w:tcPr>
            <w:tcW w:w="1134" w:type="dxa"/>
            <w:vAlign w:val="center"/>
          </w:tcPr>
          <w:p>
            <w:pPr>
              <w:pStyle w:val="11"/>
            </w:pPr>
            <w:r>
              <w:t>65.61</w:t>
            </w:r>
          </w:p>
        </w:tc>
        <w:tc>
          <w:tcPr>
            <w:tcW w:w="1134" w:type="dxa"/>
            <w:vAlign w:val="center"/>
          </w:tcPr>
          <w:p>
            <w:pPr>
              <w:pStyle w:val="11"/>
            </w:pPr>
            <w:r>
              <w:t>65.61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65.61</w:t>
            </w:r>
          </w:p>
        </w:tc>
        <w:tc>
          <w:tcPr>
            <w:tcW w:w="1134" w:type="dxa"/>
            <w:vAlign w:val="center"/>
          </w:tcPr>
          <w:p>
            <w:pPr>
              <w:pStyle w:val="11"/>
            </w:pPr>
            <w:r>
              <w:t>65.61</w:t>
            </w:r>
          </w:p>
        </w:tc>
        <w:tc>
          <w:tcPr>
            <w:tcW w:w="1134" w:type="dxa"/>
            <w:vAlign w:val="center"/>
          </w:tcPr>
          <w:p>
            <w:pPr>
              <w:pStyle w:val="11"/>
            </w:pPr>
            <w:r>
              <w:t>65.61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65.61</w:t>
            </w:r>
          </w:p>
        </w:tc>
        <w:tc>
          <w:tcPr>
            <w:tcW w:w="1134" w:type="dxa"/>
            <w:vAlign w:val="center"/>
          </w:tcPr>
          <w:p>
            <w:pPr>
              <w:pStyle w:val="11"/>
            </w:pPr>
            <w:r>
              <w:t>65.61</w:t>
            </w:r>
          </w:p>
        </w:tc>
        <w:tc>
          <w:tcPr>
            <w:tcW w:w="1134" w:type="dxa"/>
            <w:vAlign w:val="center"/>
          </w:tcPr>
          <w:p>
            <w:pPr>
              <w:pStyle w:val="11"/>
            </w:pPr>
            <w:r>
              <w:t>65.61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33.73</w:t>
            </w:r>
          </w:p>
        </w:tc>
        <w:tc>
          <w:tcPr>
            <w:tcW w:w="1134" w:type="dxa"/>
            <w:vAlign w:val="center"/>
          </w:tcPr>
          <w:p>
            <w:pPr>
              <w:pStyle w:val="11"/>
            </w:pPr>
            <w:r>
              <w:t>33.73</w:t>
            </w:r>
          </w:p>
        </w:tc>
        <w:tc>
          <w:tcPr>
            <w:tcW w:w="1134" w:type="dxa"/>
            <w:vAlign w:val="center"/>
          </w:tcPr>
          <w:p>
            <w:pPr>
              <w:pStyle w:val="11"/>
            </w:pPr>
            <w:r>
              <w:t>33.73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33.73</w:t>
            </w:r>
          </w:p>
        </w:tc>
        <w:tc>
          <w:tcPr>
            <w:tcW w:w="1134" w:type="dxa"/>
            <w:vAlign w:val="center"/>
          </w:tcPr>
          <w:p>
            <w:pPr>
              <w:pStyle w:val="11"/>
            </w:pPr>
            <w:r>
              <w:t>33.73</w:t>
            </w:r>
          </w:p>
        </w:tc>
        <w:tc>
          <w:tcPr>
            <w:tcW w:w="1134" w:type="dxa"/>
            <w:vAlign w:val="center"/>
          </w:tcPr>
          <w:p>
            <w:pPr>
              <w:pStyle w:val="11"/>
            </w:pPr>
            <w:r>
              <w:t>33.73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28.57</w:t>
            </w:r>
          </w:p>
        </w:tc>
        <w:tc>
          <w:tcPr>
            <w:tcW w:w="1134" w:type="dxa"/>
            <w:vAlign w:val="center"/>
          </w:tcPr>
          <w:p>
            <w:pPr>
              <w:pStyle w:val="11"/>
            </w:pPr>
            <w:r>
              <w:t>28.57</w:t>
            </w:r>
          </w:p>
        </w:tc>
        <w:tc>
          <w:tcPr>
            <w:tcW w:w="1134" w:type="dxa"/>
            <w:vAlign w:val="center"/>
          </w:tcPr>
          <w:p>
            <w:pPr>
              <w:pStyle w:val="11"/>
            </w:pPr>
            <w:r>
              <w:t>28.57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5.16</w:t>
            </w:r>
          </w:p>
        </w:tc>
        <w:tc>
          <w:tcPr>
            <w:tcW w:w="1134" w:type="dxa"/>
            <w:vAlign w:val="center"/>
          </w:tcPr>
          <w:p>
            <w:pPr>
              <w:pStyle w:val="11"/>
            </w:pPr>
            <w:r>
              <w:t>5.16</w:t>
            </w:r>
          </w:p>
        </w:tc>
        <w:tc>
          <w:tcPr>
            <w:tcW w:w="1134" w:type="dxa"/>
            <w:vAlign w:val="center"/>
          </w:tcPr>
          <w:p>
            <w:pPr>
              <w:pStyle w:val="11"/>
            </w:pPr>
            <w:r>
              <w:t>5.16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33.07</w:t>
            </w:r>
          </w:p>
        </w:tc>
        <w:tc>
          <w:tcPr>
            <w:tcW w:w="1134" w:type="dxa"/>
            <w:vAlign w:val="center"/>
          </w:tcPr>
          <w:p>
            <w:pPr>
              <w:pStyle w:val="11"/>
            </w:pPr>
            <w:r>
              <w:t>33.07</w:t>
            </w:r>
          </w:p>
        </w:tc>
        <w:tc>
          <w:tcPr>
            <w:tcW w:w="1134" w:type="dxa"/>
            <w:vAlign w:val="center"/>
          </w:tcPr>
          <w:p>
            <w:pPr>
              <w:pStyle w:val="11"/>
            </w:pPr>
            <w:r>
              <w:t>33.07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33.07</w:t>
            </w:r>
          </w:p>
        </w:tc>
        <w:tc>
          <w:tcPr>
            <w:tcW w:w="1134" w:type="dxa"/>
            <w:vAlign w:val="center"/>
          </w:tcPr>
          <w:p>
            <w:pPr>
              <w:pStyle w:val="11"/>
            </w:pPr>
            <w:r>
              <w:t>33.07</w:t>
            </w:r>
          </w:p>
        </w:tc>
        <w:tc>
          <w:tcPr>
            <w:tcW w:w="1134" w:type="dxa"/>
            <w:vAlign w:val="center"/>
          </w:tcPr>
          <w:p>
            <w:pPr>
              <w:pStyle w:val="11"/>
            </w:pPr>
            <w:r>
              <w:t>33.07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33.07</w:t>
            </w:r>
          </w:p>
        </w:tc>
        <w:tc>
          <w:tcPr>
            <w:tcW w:w="1134" w:type="dxa"/>
            <w:vAlign w:val="center"/>
          </w:tcPr>
          <w:p>
            <w:pPr>
              <w:pStyle w:val="11"/>
            </w:pPr>
            <w:r>
              <w:t>33.07</w:t>
            </w:r>
          </w:p>
        </w:tc>
        <w:tc>
          <w:tcPr>
            <w:tcW w:w="1134" w:type="dxa"/>
            <w:vAlign w:val="center"/>
          </w:tcPr>
          <w:p>
            <w:pPr>
              <w:pStyle w:val="11"/>
            </w:pPr>
            <w:r>
              <w:t>33.07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434001昌黎县人民政府办公室本级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752.45</w:t>
            </w:r>
          </w:p>
        </w:tc>
        <w:tc>
          <w:tcPr>
            <w:tcW w:w="1361" w:type="dxa"/>
            <w:vAlign w:val="center"/>
          </w:tcPr>
          <w:p>
            <w:pPr>
              <w:pStyle w:val="15"/>
            </w:pPr>
            <w:r>
              <w:t>713.25</w:t>
            </w:r>
          </w:p>
        </w:tc>
        <w:tc>
          <w:tcPr>
            <w:tcW w:w="1361" w:type="dxa"/>
            <w:vAlign w:val="center"/>
          </w:tcPr>
          <w:p>
            <w:pPr>
              <w:pStyle w:val="15"/>
            </w:pPr>
            <w:r>
              <w:t>39.20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620.03</w:t>
            </w:r>
          </w:p>
        </w:tc>
        <w:tc>
          <w:tcPr>
            <w:tcW w:w="1361" w:type="dxa"/>
            <w:vAlign w:val="center"/>
          </w:tcPr>
          <w:p>
            <w:pPr>
              <w:pStyle w:val="11"/>
            </w:pPr>
            <w:r>
              <w:t>580.83</w:t>
            </w:r>
          </w:p>
        </w:tc>
        <w:tc>
          <w:tcPr>
            <w:tcW w:w="1361" w:type="dxa"/>
            <w:vAlign w:val="center"/>
          </w:tcPr>
          <w:p>
            <w:pPr>
              <w:pStyle w:val="11"/>
            </w:pPr>
            <w:r>
              <w:t>39.20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620.03</w:t>
            </w:r>
          </w:p>
        </w:tc>
        <w:tc>
          <w:tcPr>
            <w:tcW w:w="1361" w:type="dxa"/>
            <w:vAlign w:val="center"/>
          </w:tcPr>
          <w:p>
            <w:pPr>
              <w:pStyle w:val="11"/>
            </w:pPr>
            <w:r>
              <w:t>580.83</w:t>
            </w:r>
          </w:p>
        </w:tc>
        <w:tc>
          <w:tcPr>
            <w:tcW w:w="1361" w:type="dxa"/>
            <w:vAlign w:val="center"/>
          </w:tcPr>
          <w:p>
            <w:pPr>
              <w:pStyle w:val="11"/>
            </w:pPr>
            <w:r>
              <w:t>39.20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516.10</w:t>
            </w:r>
          </w:p>
        </w:tc>
        <w:tc>
          <w:tcPr>
            <w:tcW w:w="1361" w:type="dxa"/>
            <w:vAlign w:val="center"/>
          </w:tcPr>
          <w:p>
            <w:pPr>
              <w:pStyle w:val="11"/>
            </w:pPr>
            <w:r>
              <w:t>516.10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39.20</w:t>
            </w:r>
          </w:p>
        </w:tc>
        <w:tc>
          <w:tcPr>
            <w:tcW w:w="1361" w:type="dxa"/>
            <w:vAlign w:val="center"/>
          </w:tcPr>
          <w:p>
            <w:pPr>
              <w:pStyle w:val="11"/>
            </w:pPr>
          </w:p>
        </w:tc>
        <w:tc>
          <w:tcPr>
            <w:tcW w:w="1361" w:type="dxa"/>
            <w:vAlign w:val="center"/>
          </w:tcPr>
          <w:p>
            <w:pPr>
              <w:pStyle w:val="11"/>
            </w:pPr>
            <w:r>
              <w:t>39.20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64.73</w:t>
            </w:r>
          </w:p>
        </w:tc>
        <w:tc>
          <w:tcPr>
            <w:tcW w:w="1361" w:type="dxa"/>
            <w:vAlign w:val="center"/>
          </w:tcPr>
          <w:p>
            <w:pPr>
              <w:pStyle w:val="11"/>
            </w:pPr>
            <w:r>
              <w:t>64.73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65.61</w:t>
            </w:r>
          </w:p>
        </w:tc>
        <w:tc>
          <w:tcPr>
            <w:tcW w:w="1361" w:type="dxa"/>
            <w:vAlign w:val="center"/>
          </w:tcPr>
          <w:p>
            <w:pPr>
              <w:pStyle w:val="11"/>
            </w:pPr>
            <w:r>
              <w:t>65.61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65.61</w:t>
            </w:r>
          </w:p>
        </w:tc>
        <w:tc>
          <w:tcPr>
            <w:tcW w:w="1361" w:type="dxa"/>
            <w:vAlign w:val="center"/>
          </w:tcPr>
          <w:p>
            <w:pPr>
              <w:pStyle w:val="11"/>
            </w:pPr>
            <w:r>
              <w:t>65.61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65.61</w:t>
            </w:r>
          </w:p>
        </w:tc>
        <w:tc>
          <w:tcPr>
            <w:tcW w:w="1361" w:type="dxa"/>
            <w:vAlign w:val="center"/>
          </w:tcPr>
          <w:p>
            <w:pPr>
              <w:pStyle w:val="11"/>
            </w:pPr>
            <w:r>
              <w:t>65.61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33.73</w:t>
            </w:r>
          </w:p>
        </w:tc>
        <w:tc>
          <w:tcPr>
            <w:tcW w:w="1361" w:type="dxa"/>
            <w:vAlign w:val="center"/>
          </w:tcPr>
          <w:p>
            <w:pPr>
              <w:pStyle w:val="11"/>
            </w:pPr>
            <w:r>
              <w:t>33.73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33.73</w:t>
            </w:r>
          </w:p>
        </w:tc>
        <w:tc>
          <w:tcPr>
            <w:tcW w:w="1361" w:type="dxa"/>
            <w:vAlign w:val="center"/>
          </w:tcPr>
          <w:p>
            <w:pPr>
              <w:pStyle w:val="11"/>
            </w:pPr>
            <w:r>
              <w:t>33.73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28.57</w:t>
            </w:r>
          </w:p>
        </w:tc>
        <w:tc>
          <w:tcPr>
            <w:tcW w:w="1361" w:type="dxa"/>
            <w:vAlign w:val="center"/>
          </w:tcPr>
          <w:p>
            <w:pPr>
              <w:pStyle w:val="11"/>
            </w:pPr>
            <w:r>
              <w:t>28.57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5.16</w:t>
            </w:r>
          </w:p>
        </w:tc>
        <w:tc>
          <w:tcPr>
            <w:tcW w:w="1361" w:type="dxa"/>
            <w:vAlign w:val="center"/>
          </w:tcPr>
          <w:p>
            <w:pPr>
              <w:pStyle w:val="11"/>
            </w:pPr>
            <w:r>
              <w:t>5.16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33.07</w:t>
            </w:r>
          </w:p>
        </w:tc>
        <w:tc>
          <w:tcPr>
            <w:tcW w:w="1361" w:type="dxa"/>
            <w:vAlign w:val="center"/>
          </w:tcPr>
          <w:p>
            <w:pPr>
              <w:pStyle w:val="11"/>
            </w:pPr>
            <w:r>
              <w:t>33.07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33.07</w:t>
            </w:r>
          </w:p>
        </w:tc>
        <w:tc>
          <w:tcPr>
            <w:tcW w:w="1361" w:type="dxa"/>
            <w:vAlign w:val="center"/>
          </w:tcPr>
          <w:p>
            <w:pPr>
              <w:pStyle w:val="11"/>
            </w:pPr>
            <w:r>
              <w:t>33.07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33.07</w:t>
            </w:r>
          </w:p>
        </w:tc>
        <w:tc>
          <w:tcPr>
            <w:tcW w:w="1361" w:type="dxa"/>
            <w:vAlign w:val="center"/>
          </w:tcPr>
          <w:p>
            <w:pPr>
              <w:pStyle w:val="11"/>
            </w:pPr>
            <w:r>
              <w:t>33.07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434001昌黎县人民政府办公室本级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752.45</w:t>
            </w:r>
          </w:p>
        </w:tc>
        <w:tc>
          <w:tcPr>
            <w:tcW w:w="3402" w:type="dxa"/>
            <w:vAlign w:val="center"/>
          </w:tcPr>
          <w:p>
            <w:pPr>
              <w:pStyle w:val="12"/>
            </w:pPr>
            <w:r>
              <w:t>一、一般公共服务支出</w:t>
            </w:r>
          </w:p>
        </w:tc>
        <w:tc>
          <w:tcPr>
            <w:tcW w:w="1474" w:type="dxa"/>
            <w:vAlign w:val="center"/>
          </w:tcPr>
          <w:p>
            <w:pPr>
              <w:pStyle w:val="11"/>
            </w:pPr>
            <w:r>
              <w:t>620.03</w:t>
            </w:r>
          </w:p>
        </w:tc>
        <w:tc>
          <w:tcPr>
            <w:tcW w:w="1474" w:type="dxa"/>
            <w:vAlign w:val="center"/>
          </w:tcPr>
          <w:p>
            <w:pPr>
              <w:pStyle w:val="11"/>
            </w:pPr>
            <w:r>
              <w:t>620.03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65.61</w:t>
            </w:r>
          </w:p>
        </w:tc>
        <w:tc>
          <w:tcPr>
            <w:tcW w:w="1474" w:type="dxa"/>
            <w:vAlign w:val="center"/>
          </w:tcPr>
          <w:p>
            <w:pPr>
              <w:pStyle w:val="11"/>
            </w:pPr>
            <w:r>
              <w:t>65.61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33.73</w:t>
            </w:r>
          </w:p>
        </w:tc>
        <w:tc>
          <w:tcPr>
            <w:tcW w:w="1474" w:type="dxa"/>
            <w:vAlign w:val="center"/>
          </w:tcPr>
          <w:p>
            <w:pPr>
              <w:pStyle w:val="11"/>
            </w:pPr>
            <w:r>
              <w:t>33.73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33.07</w:t>
            </w:r>
          </w:p>
        </w:tc>
        <w:tc>
          <w:tcPr>
            <w:tcW w:w="1474" w:type="dxa"/>
            <w:vAlign w:val="center"/>
          </w:tcPr>
          <w:p>
            <w:pPr>
              <w:pStyle w:val="11"/>
            </w:pPr>
            <w:r>
              <w:t>33.07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752.45</w:t>
            </w:r>
          </w:p>
        </w:tc>
        <w:tc>
          <w:tcPr>
            <w:tcW w:w="3402" w:type="dxa"/>
            <w:vAlign w:val="center"/>
          </w:tcPr>
          <w:p>
            <w:pPr>
              <w:pStyle w:val="14"/>
            </w:pPr>
            <w:r>
              <w:t>本年支出合计</w:t>
            </w:r>
          </w:p>
        </w:tc>
        <w:tc>
          <w:tcPr>
            <w:tcW w:w="1474" w:type="dxa"/>
            <w:vAlign w:val="center"/>
          </w:tcPr>
          <w:p>
            <w:pPr>
              <w:pStyle w:val="15"/>
            </w:pPr>
            <w:r>
              <w:t>752.45</w:t>
            </w:r>
          </w:p>
        </w:tc>
        <w:tc>
          <w:tcPr>
            <w:tcW w:w="1474" w:type="dxa"/>
            <w:vAlign w:val="center"/>
          </w:tcPr>
          <w:p>
            <w:pPr>
              <w:pStyle w:val="15"/>
            </w:pPr>
            <w:r>
              <w:t>752.45</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752.45</w:t>
            </w:r>
          </w:p>
        </w:tc>
        <w:tc>
          <w:tcPr>
            <w:tcW w:w="3402" w:type="dxa"/>
            <w:vAlign w:val="center"/>
          </w:tcPr>
          <w:p>
            <w:pPr>
              <w:pStyle w:val="14"/>
            </w:pPr>
            <w:r>
              <w:t>支出总计</w:t>
            </w:r>
          </w:p>
        </w:tc>
        <w:tc>
          <w:tcPr>
            <w:tcW w:w="1474" w:type="dxa"/>
            <w:vAlign w:val="center"/>
          </w:tcPr>
          <w:p>
            <w:pPr>
              <w:pStyle w:val="15"/>
            </w:pPr>
            <w:r>
              <w:t>752.45</w:t>
            </w:r>
          </w:p>
        </w:tc>
        <w:tc>
          <w:tcPr>
            <w:tcW w:w="1474" w:type="dxa"/>
            <w:vAlign w:val="center"/>
          </w:tcPr>
          <w:p>
            <w:pPr>
              <w:pStyle w:val="15"/>
            </w:pPr>
            <w:r>
              <w:t>752.45</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434001昌黎县人民政府办公室本级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752.45</w:t>
            </w:r>
          </w:p>
        </w:tc>
        <w:tc>
          <w:tcPr>
            <w:tcW w:w="2551" w:type="dxa"/>
            <w:vAlign w:val="center"/>
          </w:tcPr>
          <w:p>
            <w:pPr>
              <w:pStyle w:val="15"/>
            </w:pPr>
            <w:r>
              <w:t>713.25</w:t>
            </w:r>
          </w:p>
        </w:tc>
        <w:tc>
          <w:tcPr>
            <w:tcW w:w="2551" w:type="dxa"/>
            <w:vAlign w:val="center"/>
          </w:tcPr>
          <w:p>
            <w:pPr>
              <w:pStyle w:val="15"/>
            </w:pPr>
            <w:r>
              <w:t>39.20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620.03</w:t>
            </w:r>
          </w:p>
        </w:tc>
        <w:tc>
          <w:tcPr>
            <w:tcW w:w="2551" w:type="dxa"/>
            <w:vAlign w:val="center"/>
          </w:tcPr>
          <w:p>
            <w:pPr>
              <w:pStyle w:val="11"/>
            </w:pPr>
            <w:r>
              <w:t>580.83</w:t>
            </w:r>
          </w:p>
        </w:tc>
        <w:tc>
          <w:tcPr>
            <w:tcW w:w="2551" w:type="dxa"/>
            <w:vAlign w:val="center"/>
          </w:tcPr>
          <w:p>
            <w:pPr>
              <w:pStyle w:val="11"/>
            </w:pPr>
            <w:r>
              <w:t>39.20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620.03</w:t>
            </w:r>
          </w:p>
        </w:tc>
        <w:tc>
          <w:tcPr>
            <w:tcW w:w="2551" w:type="dxa"/>
            <w:vAlign w:val="center"/>
          </w:tcPr>
          <w:p>
            <w:pPr>
              <w:pStyle w:val="11"/>
            </w:pPr>
            <w:r>
              <w:t>580.83</w:t>
            </w:r>
          </w:p>
        </w:tc>
        <w:tc>
          <w:tcPr>
            <w:tcW w:w="2551" w:type="dxa"/>
            <w:vAlign w:val="center"/>
          </w:tcPr>
          <w:p>
            <w:pPr>
              <w:pStyle w:val="11"/>
            </w:pPr>
            <w:r>
              <w:t>39.20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516.10</w:t>
            </w:r>
          </w:p>
        </w:tc>
        <w:tc>
          <w:tcPr>
            <w:tcW w:w="2551" w:type="dxa"/>
            <w:vAlign w:val="center"/>
          </w:tcPr>
          <w:p>
            <w:pPr>
              <w:pStyle w:val="11"/>
            </w:pPr>
            <w:r>
              <w:t>516.10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39.20</w:t>
            </w:r>
          </w:p>
        </w:tc>
        <w:tc>
          <w:tcPr>
            <w:tcW w:w="2551" w:type="dxa"/>
            <w:vAlign w:val="center"/>
          </w:tcPr>
          <w:p>
            <w:pPr>
              <w:pStyle w:val="11"/>
            </w:pPr>
          </w:p>
        </w:tc>
        <w:tc>
          <w:tcPr>
            <w:tcW w:w="2551" w:type="dxa"/>
            <w:vAlign w:val="center"/>
          </w:tcPr>
          <w:p>
            <w:pPr>
              <w:pStyle w:val="11"/>
            </w:pPr>
            <w:r>
              <w:t>39.20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64.73</w:t>
            </w:r>
          </w:p>
        </w:tc>
        <w:tc>
          <w:tcPr>
            <w:tcW w:w="2551" w:type="dxa"/>
            <w:vAlign w:val="center"/>
          </w:tcPr>
          <w:p>
            <w:pPr>
              <w:pStyle w:val="11"/>
            </w:pPr>
            <w:r>
              <w:t>64.73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65.61</w:t>
            </w:r>
          </w:p>
        </w:tc>
        <w:tc>
          <w:tcPr>
            <w:tcW w:w="2551" w:type="dxa"/>
            <w:vAlign w:val="center"/>
          </w:tcPr>
          <w:p>
            <w:pPr>
              <w:pStyle w:val="11"/>
            </w:pPr>
            <w:r>
              <w:t>65.61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65.61</w:t>
            </w:r>
          </w:p>
        </w:tc>
        <w:tc>
          <w:tcPr>
            <w:tcW w:w="2551" w:type="dxa"/>
            <w:vAlign w:val="center"/>
          </w:tcPr>
          <w:p>
            <w:pPr>
              <w:pStyle w:val="11"/>
            </w:pPr>
            <w:r>
              <w:t>65.61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65.61</w:t>
            </w:r>
          </w:p>
        </w:tc>
        <w:tc>
          <w:tcPr>
            <w:tcW w:w="2551" w:type="dxa"/>
            <w:vAlign w:val="center"/>
          </w:tcPr>
          <w:p>
            <w:pPr>
              <w:pStyle w:val="11"/>
            </w:pPr>
            <w:r>
              <w:t>65.61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33.73</w:t>
            </w:r>
          </w:p>
        </w:tc>
        <w:tc>
          <w:tcPr>
            <w:tcW w:w="2551" w:type="dxa"/>
            <w:vAlign w:val="center"/>
          </w:tcPr>
          <w:p>
            <w:pPr>
              <w:pStyle w:val="11"/>
            </w:pPr>
            <w:r>
              <w:t>33.73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33.73</w:t>
            </w:r>
          </w:p>
        </w:tc>
        <w:tc>
          <w:tcPr>
            <w:tcW w:w="2551" w:type="dxa"/>
            <w:vAlign w:val="center"/>
          </w:tcPr>
          <w:p>
            <w:pPr>
              <w:pStyle w:val="11"/>
            </w:pPr>
            <w:r>
              <w:t>33.73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28.57</w:t>
            </w:r>
          </w:p>
        </w:tc>
        <w:tc>
          <w:tcPr>
            <w:tcW w:w="2551" w:type="dxa"/>
            <w:vAlign w:val="center"/>
          </w:tcPr>
          <w:p>
            <w:pPr>
              <w:pStyle w:val="11"/>
            </w:pPr>
            <w:r>
              <w:t>28.57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5.16</w:t>
            </w:r>
          </w:p>
        </w:tc>
        <w:tc>
          <w:tcPr>
            <w:tcW w:w="2551" w:type="dxa"/>
            <w:vAlign w:val="center"/>
          </w:tcPr>
          <w:p>
            <w:pPr>
              <w:pStyle w:val="11"/>
            </w:pPr>
            <w:r>
              <w:t>5.16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33.07</w:t>
            </w:r>
          </w:p>
        </w:tc>
        <w:tc>
          <w:tcPr>
            <w:tcW w:w="2551" w:type="dxa"/>
            <w:vAlign w:val="center"/>
          </w:tcPr>
          <w:p>
            <w:pPr>
              <w:pStyle w:val="11"/>
            </w:pPr>
            <w:r>
              <w:t>33.07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33.07</w:t>
            </w:r>
          </w:p>
        </w:tc>
        <w:tc>
          <w:tcPr>
            <w:tcW w:w="2551" w:type="dxa"/>
            <w:vAlign w:val="center"/>
          </w:tcPr>
          <w:p>
            <w:pPr>
              <w:pStyle w:val="11"/>
            </w:pPr>
            <w:r>
              <w:t>33.07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33.07</w:t>
            </w:r>
          </w:p>
        </w:tc>
        <w:tc>
          <w:tcPr>
            <w:tcW w:w="2551" w:type="dxa"/>
            <w:vAlign w:val="center"/>
          </w:tcPr>
          <w:p>
            <w:pPr>
              <w:pStyle w:val="11"/>
            </w:pPr>
            <w:r>
              <w:t>33.07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434001昌黎县人民政府办公室本级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713.25</w:t>
            </w:r>
          </w:p>
        </w:tc>
        <w:tc>
          <w:tcPr>
            <w:tcW w:w="2551" w:type="dxa"/>
            <w:vAlign w:val="center"/>
          </w:tcPr>
          <w:p>
            <w:pPr>
              <w:pStyle w:val="15"/>
            </w:pPr>
            <w:r>
              <w:t>650.32</w:t>
            </w:r>
          </w:p>
        </w:tc>
        <w:tc>
          <w:tcPr>
            <w:tcW w:w="2551" w:type="dxa"/>
            <w:vAlign w:val="center"/>
          </w:tcPr>
          <w:p>
            <w:pPr>
              <w:pStyle w:val="15"/>
            </w:pPr>
            <w:r>
              <w:t>62.93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576.11</w:t>
            </w:r>
          </w:p>
        </w:tc>
        <w:tc>
          <w:tcPr>
            <w:tcW w:w="2551" w:type="dxa"/>
            <w:vAlign w:val="center"/>
          </w:tcPr>
          <w:p>
            <w:pPr>
              <w:pStyle w:val="11"/>
            </w:pPr>
            <w:r>
              <w:t>576.11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266.21</w:t>
            </w:r>
          </w:p>
        </w:tc>
        <w:tc>
          <w:tcPr>
            <w:tcW w:w="2551" w:type="dxa"/>
            <w:vAlign w:val="center"/>
          </w:tcPr>
          <w:p>
            <w:pPr>
              <w:pStyle w:val="11"/>
            </w:pPr>
            <w:r>
              <w:t>266.21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99.69</w:t>
            </w:r>
          </w:p>
        </w:tc>
        <w:tc>
          <w:tcPr>
            <w:tcW w:w="2551" w:type="dxa"/>
            <w:vAlign w:val="center"/>
          </w:tcPr>
          <w:p>
            <w:pPr>
              <w:pStyle w:val="11"/>
            </w:pPr>
            <w:r>
              <w:t>99.69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53.13</w:t>
            </w:r>
          </w:p>
        </w:tc>
        <w:tc>
          <w:tcPr>
            <w:tcW w:w="2551" w:type="dxa"/>
            <w:vAlign w:val="center"/>
          </w:tcPr>
          <w:p>
            <w:pPr>
              <w:pStyle w:val="11"/>
            </w:pPr>
            <w:r>
              <w:t>53.13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21.77</w:t>
            </w:r>
          </w:p>
        </w:tc>
        <w:tc>
          <w:tcPr>
            <w:tcW w:w="2551" w:type="dxa"/>
            <w:vAlign w:val="center"/>
          </w:tcPr>
          <w:p>
            <w:pPr>
              <w:pStyle w:val="11"/>
            </w:pPr>
            <w:r>
              <w:t>21.77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65.61</w:t>
            </w:r>
          </w:p>
        </w:tc>
        <w:tc>
          <w:tcPr>
            <w:tcW w:w="2551" w:type="dxa"/>
            <w:vAlign w:val="center"/>
          </w:tcPr>
          <w:p>
            <w:pPr>
              <w:pStyle w:val="11"/>
            </w:pPr>
            <w:r>
              <w:t>65.61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33.73</w:t>
            </w:r>
          </w:p>
        </w:tc>
        <w:tc>
          <w:tcPr>
            <w:tcW w:w="2551" w:type="dxa"/>
            <w:vAlign w:val="center"/>
          </w:tcPr>
          <w:p>
            <w:pPr>
              <w:pStyle w:val="11"/>
            </w:pPr>
            <w:r>
              <w:t>33.73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2.90</w:t>
            </w:r>
          </w:p>
        </w:tc>
        <w:tc>
          <w:tcPr>
            <w:tcW w:w="2551" w:type="dxa"/>
            <w:vAlign w:val="center"/>
          </w:tcPr>
          <w:p>
            <w:pPr>
              <w:pStyle w:val="11"/>
            </w:pPr>
            <w:r>
              <w:t>2.90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33.07</w:t>
            </w:r>
          </w:p>
        </w:tc>
        <w:tc>
          <w:tcPr>
            <w:tcW w:w="2551" w:type="dxa"/>
            <w:vAlign w:val="center"/>
          </w:tcPr>
          <w:p>
            <w:pPr>
              <w:pStyle w:val="11"/>
            </w:pPr>
            <w:r>
              <w:t>33.07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62.93</w:t>
            </w:r>
          </w:p>
        </w:tc>
        <w:tc>
          <w:tcPr>
            <w:tcW w:w="2551" w:type="dxa"/>
            <w:vAlign w:val="center"/>
          </w:tcPr>
          <w:p>
            <w:pPr>
              <w:pStyle w:val="11"/>
            </w:pPr>
          </w:p>
        </w:tc>
        <w:tc>
          <w:tcPr>
            <w:tcW w:w="2551" w:type="dxa"/>
            <w:vAlign w:val="center"/>
          </w:tcPr>
          <w:p>
            <w:pPr>
              <w:pStyle w:val="11"/>
            </w:pPr>
            <w:r>
              <w:t>62.93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10.40</w:t>
            </w:r>
          </w:p>
        </w:tc>
        <w:tc>
          <w:tcPr>
            <w:tcW w:w="2551" w:type="dxa"/>
            <w:vAlign w:val="center"/>
          </w:tcPr>
          <w:p>
            <w:pPr>
              <w:pStyle w:val="11"/>
            </w:pPr>
          </w:p>
        </w:tc>
        <w:tc>
          <w:tcPr>
            <w:tcW w:w="2551" w:type="dxa"/>
            <w:vAlign w:val="center"/>
          </w:tcPr>
          <w:p>
            <w:pPr>
              <w:pStyle w:val="11"/>
            </w:pPr>
            <w:r>
              <w:t>10.40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4.06</w:t>
            </w:r>
          </w:p>
        </w:tc>
        <w:tc>
          <w:tcPr>
            <w:tcW w:w="2551" w:type="dxa"/>
            <w:vAlign w:val="center"/>
          </w:tcPr>
          <w:p>
            <w:pPr>
              <w:pStyle w:val="11"/>
            </w:pPr>
          </w:p>
        </w:tc>
        <w:tc>
          <w:tcPr>
            <w:tcW w:w="2551" w:type="dxa"/>
            <w:vAlign w:val="center"/>
          </w:tcPr>
          <w:p>
            <w:pPr>
              <w:pStyle w:val="11"/>
            </w:pPr>
            <w:r>
              <w:t>4.06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9.80</w:t>
            </w:r>
          </w:p>
        </w:tc>
        <w:tc>
          <w:tcPr>
            <w:tcW w:w="2551" w:type="dxa"/>
            <w:vAlign w:val="center"/>
          </w:tcPr>
          <w:p>
            <w:pPr>
              <w:pStyle w:val="11"/>
            </w:pPr>
          </w:p>
        </w:tc>
        <w:tc>
          <w:tcPr>
            <w:tcW w:w="2551" w:type="dxa"/>
            <w:vAlign w:val="center"/>
          </w:tcPr>
          <w:p>
            <w:pPr>
              <w:pStyle w:val="11"/>
            </w:pPr>
            <w:r>
              <w:t>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25.37</w:t>
            </w:r>
          </w:p>
        </w:tc>
        <w:tc>
          <w:tcPr>
            <w:tcW w:w="2551" w:type="dxa"/>
            <w:vAlign w:val="center"/>
          </w:tcPr>
          <w:p>
            <w:pPr>
              <w:pStyle w:val="11"/>
            </w:pPr>
          </w:p>
        </w:tc>
        <w:tc>
          <w:tcPr>
            <w:tcW w:w="2551" w:type="dxa"/>
            <w:vAlign w:val="center"/>
          </w:tcPr>
          <w:p>
            <w:pPr>
              <w:pStyle w:val="11"/>
            </w:pPr>
            <w:r>
              <w:t>25.37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11.30</w:t>
            </w:r>
          </w:p>
        </w:tc>
        <w:tc>
          <w:tcPr>
            <w:tcW w:w="2551" w:type="dxa"/>
            <w:vAlign w:val="center"/>
          </w:tcPr>
          <w:p>
            <w:pPr>
              <w:pStyle w:val="11"/>
            </w:pPr>
          </w:p>
        </w:tc>
        <w:tc>
          <w:tcPr>
            <w:tcW w:w="2551" w:type="dxa"/>
            <w:vAlign w:val="center"/>
          </w:tcPr>
          <w:p>
            <w:pPr>
              <w:pStyle w:val="11"/>
            </w:pPr>
            <w:r>
              <w:t>11.30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74.21</w:t>
            </w:r>
          </w:p>
        </w:tc>
        <w:tc>
          <w:tcPr>
            <w:tcW w:w="2551" w:type="dxa"/>
            <w:vAlign w:val="center"/>
          </w:tcPr>
          <w:p>
            <w:pPr>
              <w:pStyle w:val="11"/>
            </w:pPr>
            <w:r>
              <w:t>74.21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1"/>
            </w:pPr>
            <w:r>
              <w:t>14.84</w:t>
            </w:r>
          </w:p>
        </w:tc>
        <w:tc>
          <w:tcPr>
            <w:tcW w:w="2551" w:type="dxa"/>
            <w:vAlign w:val="center"/>
          </w:tcPr>
          <w:p>
            <w:pPr>
              <w:pStyle w:val="11"/>
            </w:pPr>
            <w:r>
              <w:t>14.84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52.84</w:t>
            </w:r>
          </w:p>
        </w:tc>
        <w:tc>
          <w:tcPr>
            <w:tcW w:w="2551" w:type="dxa"/>
            <w:vAlign w:val="center"/>
          </w:tcPr>
          <w:p>
            <w:pPr>
              <w:pStyle w:val="11"/>
            </w:pPr>
            <w:r>
              <w:t>52.84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30304</w:t>
            </w:r>
          </w:p>
        </w:tc>
        <w:tc>
          <w:tcPr>
            <w:tcW w:w="4535" w:type="dxa"/>
            <w:vAlign w:val="center"/>
          </w:tcPr>
          <w:p>
            <w:pPr>
              <w:pStyle w:val="12"/>
            </w:pPr>
            <w:r>
              <w:t>抚恤金</w:t>
            </w:r>
          </w:p>
        </w:tc>
        <w:tc>
          <w:tcPr>
            <w:tcW w:w="2551" w:type="dxa"/>
            <w:vAlign w:val="center"/>
          </w:tcPr>
          <w:p>
            <w:pPr>
              <w:pStyle w:val="11"/>
            </w:pPr>
            <w:r>
              <w:t>4.54</w:t>
            </w:r>
          </w:p>
        </w:tc>
        <w:tc>
          <w:tcPr>
            <w:tcW w:w="2551" w:type="dxa"/>
            <w:vAlign w:val="center"/>
          </w:tcPr>
          <w:p>
            <w:pPr>
              <w:pStyle w:val="11"/>
            </w:pPr>
            <w:r>
              <w:t>4.54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1.99</w:t>
            </w:r>
          </w:p>
        </w:tc>
        <w:tc>
          <w:tcPr>
            <w:tcW w:w="2551" w:type="dxa"/>
            <w:vAlign w:val="center"/>
          </w:tcPr>
          <w:p>
            <w:pPr>
              <w:pStyle w:val="11"/>
            </w:pPr>
            <w:r>
              <w:t>1.99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434001昌黎县人民政府办公室本级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434001昌黎县人民政府办公室本级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434001昌黎县人民政府办公室本级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9.80</w:t>
            </w:r>
          </w:p>
        </w:tc>
        <w:tc>
          <w:tcPr>
            <w:tcW w:w="2381" w:type="dxa"/>
            <w:vAlign w:val="center"/>
          </w:tcPr>
          <w:p>
            <w:pPr>
              <w:pStyle w:val="15"/>
            </w:pPr>
            <w:r>
              <w:t>9.80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9.80</w:t>
            </w:r>
          </w:p>
        </w:tc>
        <w:tc>
          <w:tcPr>
            <w:tcW w:w="2381" w:type="dxa"/>
            <w:vAlign w:val="center"/>
          </w:tcPr>
          <w:p>
            <w:pPr>
              <w:pStyle w:val="11"/>
            </w:pPr>
            <w:r>
              <w:t>9.80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9.80</w:t>
            </w:r>
          </w:p>
        </w:tc>
        <w:tc>
          <w:tcPr>
            <w:tcW w:w="2381" w:type="dxa"/>
            <w:vAlign w:val="center"/>
          </w:tcPr>
          <w:p>
            <w:pPr>
              <w:pStyle w:val="11"/>
            </w:pPr>
            <w:r>
              <w:t>9.80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9.80</w:t>
            </w:r>
          </w:p>
        </w:tc>
        <w:tc>
          <w:tcPr>
            <w:tcW w:w="2381" w:type="dxa"/>
            <w:vAlign w:val="center"/>
          </w:tcPr>
          <w:p>
            <w:pPr>
              <w:pStyle w:val="11"/>
            </w:pPr>
            <w:r>
              <w:t>9.80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昌黎县人民政府办公室本级2026年单位预算信息公开情况说明</w:t>
      </w:r>
    </w:p>
    <w:p>
      <w:pPr>
        <w:keepNext w:val="0"/>
        <w:keepLines w:val="0"/>
        <w:pageBreakBefore w:val="0"/>
        <w:widowControl/>
        <w:kinsoku/>
        <w:wordWrap/>
        <w:overflowPunct/>
        <w:topLinePunct w:val="0"/>
        <w:autoSpaceDE/>
        <w:autoSpaceDN/>
        <w:bidi w:val="0"/>
        <w:adjustRightInd/>
        <w:snapToGrid/>
        <w:spacing w:line="500" w:lineRule="exact"/>
        <w:ind w:firstLine="560"/>
        <w:jc w:val="left"/>
        <w:textAlignment w:val="auto"/>
        <w:outlineLvl w:val="9"/>
        <w:rPr>
          <w:rFonts w:ascii="Times New Roman" w:hAnsi="Times New Roman" w:eastAsia="方正仿宋_GBK" w:cs="Times New Roman"/>
          <w:b w:val="0"/>
          <w:color w:val="000000"/>
          <w:sz w:val="28"/>
        </w:rPr>
      </w:pPr>
    </w:p>
    <w:p>
      <w:pPr>
        <w:keepNext w:val="0"/>
        <w:keepLines w:val="0"/>
        <w:pageBreakBefore w:val="0"/>
        <w:widowControl/>
        <w:kinsoku/>
        <w:wordWrap/>
        <w:overflowPunct/>
        <w:topLinePunct w:val="0"/>
        <w:autoSpaceDE/>
        <w:autoSpaceDN/>
        <w:bidi w:val="0"/>
        <w:adjustRightInd/>
        <w:snapToGrid/>
        <w:spacing w:line="500" w:lineRule="exact"/>
        <w:ind w:firstLine="560"/>
        <w:jc w:val="left"/>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val="0"/>
          <w:color w:val="000000"/>
          <w:sz w:val="30"/>
          <w:szCs w:val="30"/>
        </w:rPr>
        <w:t>按照《中华人民共和国预算法》《地方预决算公开操作规程》和《关于进一步推进预算公开工作的实施意见》规定，现将昌黎县人民政府办公室本级2026年单位预算公开如下</w:t>
      </w:r>
      <w:r>
        <w:rPr>
          <w:rFonts w:hint="eastAsia" w:ascii="仿宋_GB2312" w:hAnsi="仿宋_GB2312" w:eastAsia="仿宋_GB2312" w:cs="仿宋_GB2312"/>
          <w:b w:val="0"/>
          <w:color w:val="000000"/>
          <w:sz w:val="30"/>
          <w:szCs w:val="30"/>
          <w:lang w:eastAsia="zh-CN"/>
        </w:rPr>
        <w:t>。</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outlineLvl w:val="5"/>
      </w:pPr>
      <w:r>
        <w:rPr>
          <w:rFonts w:ascii="黑体" w:hAnsi="黑体" w:eastAsia="黑体" w:cs="黑体"/>
          <w:color w:val="000000"/>
          <w:sz w:val="32"/>
        </w:rPr>
        <w:t>一、单位职责及机构设置情况</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b/>
          <w:color w:val="000000"/>
          <w:sz w:val="32"/>
          <w:szCs w:val="32"/>
          <w:lang w:eastAsia="zh-CN"/>
        </w:rPr>
        <w:t>（一）</w:t>
      </w:r>
      <w:r>
        <w:rPr>
          <w:rFonts w:hint="eastAsia" w:ascii="楷体_GB2312" w:hAnsi="楷体_GB2312" w:eastAsia="楷体_GB2312" w:cs="楷体_GB2312"/>
          <w:b/>
          <w:color w:val="000000"/>
          <w:sz w:val="32"/>
          <w:szCs w:val="32"/>
        </w:rPr>
        <w:t>单位职责</w:t>
      </w:r>
    </w:p>
    <w:p>
      <w:pPr>
        <w:keepNext w:val="0"/>
        <w:keepLines w:val="0"/>
        <w:pageBreakBefore w:val="0"/>
        <w:widowControl/>
        <w:kinsoku/>
        <w:wordWrap/>
        <w:overflowPunct/>
        <w:topLinePunct w:val="0"/>
        <w:autoSpaceDE/>
        <w:autoSpaceDN/>
        <w:bidi w:val="0"/>
        <w:adjustRightInd/>
        <w:snapToGrid/>
        <w:spacing w:line="500" w:lineRule="exact"/>
        <w:ind w:firstLine="560"/>
        <w:jc w:val="left"/>
        <w:textAlignment w:val="auto"/>
        <w:outlineLvl w:val="9"/>
        <w:rPr>
          <w:rFonts w:hint="eastAsia" w:ascii="仿宋_GB2312" w:hAnsi="仿宋_GB2312" w:eastAsia="仿宋_GB2312" w:cs="仿宋_GB2312"/>
          <w:b w:val="0"/>
          <w:color w:val="000000"/>
          <w:sz w:val="30"/>
          <w:szCs w:val="30"/>
        </w:rPr>
      </w:pPr>
      <w:r>
        <w:rPr>
          <w:rFonts w:hint="eastAsia" w:ascii="仿宋_GB2312" w:hAnsi="仿宋_GB2312" w:eastAsia="仿宋_GB2312" w:cs="仿宋_GB2312"/>
          <w:b w:val="0"/>
          <w:color w:val="000000"/>
          <w:sz w:val="30"/>
          <w:szCs w:val="30"/>
        </w:rPr>
        <w:t>1.组织承办县政府全体会议、县政府党组会议、县政府常务会议、县长办公会议、县政府专题会议、县长碰头会议及其他专项会议；组织起草或审核以县政府或县政府办公室名义上报或下发的公文，承接、办理各类公文；组织起草县政府领导讲话及其他重要文稿。</w:t>
      </w:r>
    </w:p>
    <w:p>
      <w:pPr>
        <w:keepNext w:val="0"/>
        <w:keepLines w:val="0"/>
        <w:pageBreakBefore w:val="0"/>
        <w:widowControl/>
        <w:kinsoku/>
        <w:wordWrap/>
        <w:overflowPunct/>
        <w:topLinePunct w:val="0"/>
        <w:autoSpaceDE/>
        <w:autoSpaceDN/>
        <w:bidi w:val="0"/>
        <w:adjustRightInd/>
        <w:snapToGrid/>
        <w:spacing w:line="500" w:lineRule="exact"/>
        <w:ind w:firstLine="560"/>
        <w:jc w:val="left"/>
        <w:textAlignment w:val="auto"/>
        <w:outlineLvl w:val="9"/>
        <w:rPr>
          <w:rFonts w:hint="eastAsia" w:ascii="仿宋_GB2312" w:hAnsi="仿宋_GB2312" w:eastAsia="仿宋_GB2312" w:cs="仿宋_GB2312"/>
          <w:b w:val="0"/>
          <w:color w:val="000000"/>
          <w:sz w:val="30"/>
          <w:szCs w:val="30"/>
        </w:rPr>
      </w:pPr>
      <w:r>
        <w:rPr>
          <w:rFonts w:hint="eastAsia" w:ascii="仿宋_GB2312" w:hAnsi="仿宋_GB2312" w:eastAsia="仿宋_GB2312" w:cs="仿宋_GB2312"/>
          <w:b w:val="0"/>
          <w:color w:val="000000"/>
          <w:sz w:val="30"/>
          <w:szCs w:val="30"/>
        </w:rPr>
        <w:t>2.督促检查县政府各部门、各镇乡人民政府对国务院和省、市、县政府重要文件、重要会议决定及上级领导重要批示的执行落实情况并跟踪督办，及时向县政府领导报告。</w:t>
      </w:r>
    </w:p>
    <w:p>
      <w:pPr>
        <w:keepNext w:val="0"/>
        <w:keepLines w:val="0"/>
        <w:pageBreakBefore w:val="0"/>
        <w:widowControl/>
        <w:kinsoku/>
        <w:wordWrap/>
        <w:overflowPunct/>
        <w:topLinePunct w:val="0"/>
        <w:autoSpaceDE/>
        <w:autoSpaceDN/>
        <w:bidi w:val="0"/>
        <w:adjustRightInd/>
        <w:snapToGrid/>
        <w:spacing w:line="500" w:lineRule="exact"/>
        <w:ind w:firstLine="560"/>
        <w:jc w:val="left"/>
        <w:textAlignment w:val="auto"/>
        <w:outlineLvl w:val="9"/>
        <w:rPr>
          <w:rFonts w:hint="eastAsia" w:ascii="仿宋_GB2312" w:hAnsi="仿宋_GB2312" w:eastAsia="仿宋_GB2312" w:cs="仿宋_GB2312"/>
          <w:b w:val="0"/>
          <w:color w:val="000000"/>
          <w:sz w:val="30"/>
          <w:szCs w:val="30"/>
        </w:rPr>
      </w:pPr>
      <w:r>
        <w:rPr>
          <w:rFonts w:hint="eastAsia" w:ascii="仿宋_GB2312" w:hAnsi="仿宋_GB2312" w:eastAsia="仿宋_GB2312" w:cs="仿宋_GB2312"/>
          <w:b w:val="0"/>
          <w:color w:val="000000"/>
          <w:sz w:val="30"/>
          <w:szCs w:val="30"/>
        </w:rPr>
        <w:t>3.负责县政府公务接待、会务组织工作。</w:t>
      </w:r>
    </w:p>
    <w:p>
      <w:pPr>
        <w:keepNext w:val="0"/>
        <w:keepLines w:val="0"/>
        <w:pageBreakBefore w:val="0"/>
        <w:widowControl/>
        <w:kinsoku/>
        <w:wordWrap/>
        <w:overflowPunct/>
        <w:topLinePunct w:val="0"/>
        <w:autoSpaceDE/>
        <w:autoSpaceDN/>
        <w:bidi w:val="0"/>
        <w:adjustRightInd/>
        <w:snapToGrid/>
        <w:spacing w:line="500" w:lineRule="exact"/>
        <w:ind w:firstLine="560"/>
        <w:jc w:val="left"/>
        <w:textAlignment w:val="auto"/>
        <w:outlineLvl w:val="9"/>
        <w:rPr>
          <w:rFonts w:hint="eastAsia" w:ascii="仿宋_GB2312" w:hAnsi="仿宋_GB2312" w:eastAsia="仿宋_GB2312" w:cs="仿宋_GB2312"/>
          <w:b w:val="0"/>
          <w:color w:val="000000"/>
          <w:sz w:val="30"/>
          <w:szCs w:val="30"/>
        </w:rPr>
      </w:pPr>
      <w:r>
        <w:rPr>
          <w:rFonts w:hint="eastAsia" w:ascii="仿宋_GB2312" w:hAnsi="仿宋_GB2312" w:eastAsia="仿宋_GB2312" w:cs="仿宋_GB2312"/>
          <w:b w:val="0"/>
          <w:color w:val="000000"/>
          <w:sz w:val="30"/>
          <w:szCs w:val="30"/>
        </w:rPr>
        <w:t>4.负责组织承办人大代表建议、批评、意见和政协委员提案工作。</w:t>
      </w:r>
    </w:p>
    <w:p>
      <w:pPr>
        <w:keepNext w:val="0"/>
        <w:keepLines w:val="0"/>
        <w:pageBreakBefore w:val="0"/>
        <w:widowControl/>
        <w:kinsoku/>
        <w:wordWrap/>
        <w:overflowPunct/>
        <w:topLinePunct w:val="0"/>
        <w:autoSpaceDE/>
        <w:autoSpaceDN/>
        <w:bidi w:val="0"/>
        <w:adjustRightInd/>
        <w:snapToGrid/>
        <w:spacing w:line="500" w:lineRule="exact"/>
        <w:ind w:firstLine="560"/>
        <w:jc w:val="left"/>
        <w:textAlignment w:val="auto"/>
        <w:outlineLvl w:val="9"/>
        <w:rPr>
          <w:rFonts w:hint="eastAsia" w:ascii="仿宋_GB2312" w:hAnsi="仿宋_GB2312" w:eastAsia="仿宋_GB2312" w:cs="仿宋_GB2312"/>
          <w:b w:val="0"/>
          <w:color w:val="000000"/>
          <w:sz w:val="30"/>
          <w:szCs w:val="30"/>
        </w:rPr>
      </w:pPr>
      <w:r>
        <w:rPr>
          <w:rFonts w:hint="eastAsia" w:ascii="仿宋_GB2312" w:hAnsi="仿宋_GB2312" w:eastAsia="仿宋_GB2312" w:cs="仿宋_GB2312"/>
          <w:b w:val="0"/>
          <w:color w:val="000000"/>
          <w:sz w:val="30"/>
          <w:szCs w:val="30"/>
        </w:rPr>
        <w:t>5.负责承办县政府提请县人大常委会任免议案和提请县政府任命工作人员的行政任免有关手续；负责承办县政府任命工作人员的宪法宣誓工作。</w:t>
      </w:r>
    </w:p>
    <w:p>
      <w:pPr>
        <w:keepNext w:val="0"/>
        <w:keepLines w:val="0"/>
        <w:pageBreakBefore w:val="0"/>
        <w:widowControl/>
        <w:kinsoku/>
        <w:wordWrap/>
        <w:overflowPunct/>
        <w:topLinePunct w:val="0"/>
        <w:autoSpaceDE/>
        <w:autoSpaceDN/>
        <w:bidi w:val="0"/>
        <w:adjustRightInd/>
        <w:snapToGrid/>
        <w:spacing w:line="500" w:lineRule="exact"/>
        <w:ind w:firstLine="560"/>
        <w:jc w:val="left"/>
        <w:textAlignment w:val="auto"/>
        <w:outlineLvl w:val="9"/>
        <w:rPr>
          <w:rFonts w:hint="eastAsia" w:ascii="仿宋_GB2312" w:hAnsi="仿宋_GB2312" w:eastAsia="仿宋_GB2312" w:cs="仿宋_GB2312"/>
          <w:b w:val="0"/>
          <w:color w:val="000000"/>
          <w:sz w:val="30"/>
          <w:szCs w:val="30"/>
        </w:rPr>
      </w:pPr>
      <w:r>
        <w:rPr>
          <w:rFonts w:hint="eastAsia" w:ascii="仿宋_GB2312" w:hAnsi="仿宋_GB2312" w:eastAsia="仿宋_GB2312" w:cs="仿宋_GB2312"/>
          <w:b w:val="0"/>
          <w:color w:val="000000"/>
          <w:sz w:val="30"/>
          <w:szCs w:val="30"/>
        </w:rPr>
        <w:t>6.负责县政府值班工作并及时向县政府领导报告重要情况，协助处理县政府各部门、各镇乡向县政府反映的重要问题，承办便民热线和县长信箱。</w:t>
      </w:r>
    </w:p>
    <w:p>
      <w:pPr>
        <w:keepNext w:val="0"/>
        <w:keepLines w:val="0"/>
        <w:pageBreakBefore w:val="0"/>
        <w:widowControl/>
        <w:kinsoku/>
        <w:wordWrap/>
        <w:overflowPunct/>
        <w:topLinePunct w:val="0"/>
        <w:autoSpaceDE/>
        <w:autoSpaceDN/>
        <w:bidi w:val="0"/>
        <w:adjustRightInd/>
        <w:snapToGrid/>
        <w:spacing w:line="500" w:lineRule="exact"/>
        <w:ind w:firstLine="560"/>
        <w:jc w:val="left"/>
        <w:textAlignment w:val="auto"/>
        <w:outlineLvl w:val="9"/>
        <w:rPr>
          <w:rFonts w:hint="eastAsia" w:ascii="仿宋_GB2312" w:hAnsi="仿宋_GB2312" w:eastAsia="仿宋_GB2312" w:cs="仿宋_GB2312"/>
          <w:b w:val="0"/>
          <w:color w:val="000000"/>
          <w:sz w:val="30"/>
          <w:szCs w:val="30"/>
        </w:rPr>
      </w:pPr>
      <w:r>
        <w:rPr>
          <w:rFonts w:hint="eastAsia" w:ascii="仿宋_GB2312" w:hAnsi="仿宋_GB2312" w:eastAsia="仿宋_GB2312" w:cs="仿宋_GB2312"/>
          <w:b w:val="0"/>
          <w:color w:val="000000"/>
          <w:sz w:val="30"/>
          <w:szCs w:val="30"/>
        </w:rPr>
        <w:t>7.负责县政府系统政务信息和政府信息公开工作，并对镇乡相关工作进行指导。负责政务信息（包括舆情信息）服务工作，协同有关部门统筹协调县政府新闻宣传、舆情回应等工作。</w:t>
      </w:r>
    </w:p>
    <w:p>
      <w:pPr>
        <w:keepNext w:val="0"/>
        <w:keepLines w:val="0"/>
        <w:pageBreakBefore w:val="0"/>
        <w:widowControl/>
        <w:kinsoku/>
        <w:wordWrap/>
        <w:overflowPunct/>
        <w:topLinePunct w:val="0"/>
        <w:autoSpaceDE/>
        <w:autoSpaceDN/>
        <w:bidi w:val="0"/>
        <w:adjustRightInd/>
        <w:snapToGrid/>
        <w:spacing w:line="500" w:lineRule="exact"/>
        <w:ind w:firstLine="560"/>
        <w:jc w:val="left"/>
        <w:textAlignment w:val="auto"/>
        <w:outlineLvl w:val="9"/>
        <w:rPr>
          <w:rFonts w:hint="eastAsia" w:ascii="仿宋_GB2312" w:hAnsi="仿宋_GB2312" w:eastAsia="仿宋_GB2312" w:cs="仿宋_GB2312"/>
          <w:b w:val="0"/>
          <w:color w:val="000000"/>
          <w:sz w:val="30"/>
          <w:szCs w:val="30"/>
        </w:rPr>
      </w:pPr>
      <w:r>
        <w:rPr>
          <w:rFonts w:hint="eastAsia" w:ascii="仿宋_GB2312" w:hAnsi="仿宋_GB2312" w:eastAsia="仿宋_GB2312" w:cs="仿宋_GB2312"/>
          <w:b w:val="0"/>
          <w:color w:val="000000"/>
          <w:sz w:val="30"/>
          <w:szCs w:val="30"/>
        </w:rPr>
        <w:t>8.负责组织协调推进全县政府职能转变工作。</w:t>
      </w:r>
    </w:p>
    <w:p>
      <w:pPr>
        <w:keepNext w:val="0"/>
        <w:keepLines w:val="0"/>
        <w:pageBreakBefore w:val="0"/>
        <w:widowControl/>
        <w:kinsoku/>
        <w:wordWrap/>
        <w:overflowPunct/>
        <w:topLinePunct w:val="0"/>
        <w:autoSpaceDE/>
        <w:autoSpaceDN/>
        <w:bidi w:val="0"/>
        <w:adjustRightInd/>
        <w:snapToGrid/>
        <w:spacing w:line="500" w:lineRule="exact"/>
        <w:ind w:firstLine="560"/>
        <w:jc w:val="left"/>
        <w:textAlignment w:val="auto"/>
        <w:outlineLvl w:val="9"/>
        <w:rPr>
          <w:rFonts w:hint="eastAsia" w:ascii="仿宋_GB2312" w:hAnsi="仿宋_GB2312" w:eastAsia="仿宋_GB2312" w:cs="仿宋_GB2312"/>
          <w:b w:val="0"/>
          <w:color w:val="000000"/>
          <w:sz w:val="30"/>
          <w:szCs w:val="30"/>
        </w:rPr>
      </w:pPr>
      <w:r>
        <w:rPr>
          <w:rFonts w:hint="eastAsia" w:ascii="仿宋_GB2312" w:hAnsi="仿宋_GB2312" w:eastAsia="仿宋_GB2312" w:cs="仿宋_GB2312"/>
          <w:b w:val="0"/>
          <w:color w:val="000000"/>
          <w:sz w:val="30"/>
          <w:szCs w:val="30"/>
        </w:rPr>
        <w:t>9.负责政府系统重大政策、重要事项、重大问题的调查研究，并提出意见建议。</w:t>
      </w:r>
    </w:p>
    <w:p>
      <w:pPr>
        <w:keepNext w:val="0"/>
        <w:keepLines w:val="0"/>
        <w:pageBreakBefore w:val="0"/>
        <w:widowControl/>
        <w:kinsoku/>
        <w:wordWrap/>
        <w:overflowPunct/>
        <w:topLinePunct w:val="0"/>
        <w:autoSpaceDE/>
        <w:autoSpaceDN/>
        <w:bidi w:val="0"/>
        <w:adjustRightInd/>
        <w:snapToGrid/>
        <w:spacing w:line="500" w:lineRule="exact"/>
        <w:ind w:firstLine="560"/>
        <w:jc w:val="left"/>
        <w:textAlignment w:val="auto"/>
        <w:outlineLvl w:val="9"/>
        <w:rPr>
          <w:rFonts w:hint="eastAsia" w:ascii="仿宋_GB2312" w:hAnsi="仿宋_GB2312" w:eastAsia="仿宋_GB2312" w:cs="仿宋_GB2312"/>
          <w:b w:val="0"/>
          <w:color w:val="000000"/>
          <w:sz w:val="30"/>
          <w:szCs w:val="30"/>
        </w:rPr>
      </w:pPr>
      <w:r>
        <w:rPr>
          <w:rFonts w:hint="eastAsia" w:ascii="仿宋_GB2312" w:hAnsi="仿宋_GB2312" w:eastAsia="仿宋_GB2312" w:cs="仿宋_GB2312"/>
          <w:b w:val="0"/>
          <w:color w:val="000000"/>
          <w:sz w:val="30"/>
          <w:szCs w:val="30"/>
        </w:rPr>
        <w:t>10.协调组织全县金融风险防范和处置化解；组织开展防范和处置非法集资工作；负责指导全县地方金融组织市场准入、监督管理和规范发展工作；负责协调推动、培育推荐企业挂牌上市工作。</w:t>
      </w:r>
    </w:p>
    <w:p>
      <w:pPr>
        <w:keepNext w:val="0"/>
        <w:keepLines w:val="0"/>
        <w:pageBreakBefore w:val="0"/>
        <w:widowControl/>
        <w:kinsoku/>
        <w:wordWrap/>
        <w:overflowPunct/>
        <w:topLinePunct w:val="0"/>
        <w:autoSpaceDE/>
        <w:autoSpaceDN/>
        <w:bidi w:val="0"/>
        <w:adjustRightInd/>
        <w:snapToGrid/>
        <w:spacing w:line="500" w:lineRule="exact"/>
        <w:ind w:firstLine="560"/>
        <w:jc w:val="left"/>
        <w:textAlignment w:val="auto"/>
        <w:outlineLvl w:val="9"/>
        <w:rPr>
          <w:rFonts w:hint="eastAsia" w:ascii="仿宋_GB2312" w:hAnsi="仿宋_GB2312" w:eastAsia="仿宋_GB2312" w:cs="仿宋_GB2312"/>
          <w:b w:val="0"/>
          <w:color w:val="000000"/>
          <w:sz w:val="30"/>
          <w:szCs w:val="30"/>
        </w:rPr>
      </w:pPr>
      <w:r>
        <w:rPr>
          <w:rFonts w:hint="eastAsia" w:ascii="仿宋_GB2312" w:hAnsi="仿宋_GB2312" w:eastAsia="仿宋_GB2312" w:cs="仿宋_GB2312"/>
          <w:b w:val="0"/>
          <w:color w:val="000000"/>
          <w:sz w:val="30"/>
          <w:szCs w:val="30"/>
        </w:rPr>
        <w:t>11.负责外事、港澳事务、县志等管理工作。</w:t>
      </w:r>
    </w:p>
    <w:p>
      <w:pPr>
        <w:keepNext w:val="0"/>
        <w:keepLines w:val="0"/>
        <w:pageBreakBefore w:val="0"/>
        <w:widowControl/>
        <w:kinsoku/>
        <w:wordWrap/>
        <w:overflowPunct/>
        <w:topLinePunct w:val="0"/>
        <w:autoSpaceDE/>
        <w:autoSpaceDN/>
        <w:bidi w:val="0"/>
        <w:adjustRightInd/>
        <w:snapToGrid/>
        <w:spacing w:line="500" w:lineRule="exact"/>
        <w:ind w:firstLine="560"/>
        <w:jc w:val="left"/>
        <w:textAlignment w:val="auto"/>
        <w:outlineLvl w:val="9"/>
        <w:rPr>
          <w:rFonts w:hint="eastAsia" w:ascii="仿宋_GB2312" w:hAnsi="仿宋_GB2312" w:eastAsia="仿宋_GB2312" w:cs="仿宋_GB2312"/>
          <w:b w:val="0"/>
          <w:color w:val="000000"/>
          <w:sz w:val="30"/>
          <w:szCs w:val="30"/>
        </w:rPr>
      </w:pPr>
      <w:r>
        <w:rPr>
          <w:rFonts w:hint="eastAsia" w:ascii="仿宋_GB2312" w:hAnsi="仿宋_GB2312" w:eastAsia="仿宋_GB2312" w:cs="仿宋_GB2312"/>
          <w:b w:val="0"/>
          <w:color w:val="000000"/>
          <w:sz w:val="30"/>
          <w:szCs w:val="30"/>
        </w:rPr>
        <w:t>12.负责县政府机关的党建、纪律监督、群团工作。</w:t>
      </w:r>
    </w:p>
    <w:p>
      <w:pPr>
        <w:keepNext w:val="0"/>
        <w:keepLines w:val="0"/>
        <w:pageBreakBefore w:val="0"/>
        <w:widowControl/>
        <w:kinsoku/>
        <w:wordWrap/>
        <w:overflowPunct/>
        <w:topLinePunct w:val="0"/>
        <w:autoSpaceDE/>
        <w:autoSpaceDN/>
        <w:bidi w:val="0"/>
        <w:adjustRightInd/>
        <w:snapToGrid/>
        <w:spacing w:line="500" w:lineRule="exact"/>
        <w:ind w:firstLine="560"/>
        <w:jc w:val="left"/>
        <w:textAlignment w:val="auto"/>
        <w:outlineLvl w:val="9"/>
      </w:pPr>
      <w:r>
        <w:rPr>
          <w:rFonts w:hint="eastAsia" w:ascii="仿宋_GB2312" w:hAnsi="仿宋_GB2312" w:eastAsia="仿宋_GB2312" w:cs="仿宋_GB2312"/>
          <w:b w:val="0"/>
          <w:color w:val="000000"/>
          <w:sz w:val="30"/>
          <w:szCs w:val="30"/>
        </w:rPr>
        <w:t>13.完成县政府交办的其他任务。</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outlineLvl w:val="9"/>
      </w:pPr>
      <w:r>
        <w:rPr>
          <w:rFonts w:hint="eastAsia" w:ascii="楷体_GB2312" w:hAnsi="楷体_GB2312" w:eastAsia="楷体_GB2312" w:cs="楷体_GB2312"/>
          <w:b/>
          <w:color w:val="000000"/>
          <w:sz w:val="32"/>
          <w:szCs w:val="32"/>
          <w:lang w:eastAsia="zh-CN"/>
        </w:rPr>
        <w:t>（二）机构设置</w:t>
      </w:r>
      <w:bookmarkStart w:id="1" w:name="_GoBack"/>
      <w:bookmarkEnd w:id="1"/>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昌黎县人民政府办公室本级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outlineLvl w:val="5"/>
      </w:pPr>
      <w:r>
        <w:rPr>
          <w:rFonts w:ascii="黑体" w:hAnsi="黑体" w:eastAsia="黑体" w:cs="黑体"/>
          <w:color w:val="000000"/>
          <w:sz w:val="32"/>
        </w:rPr>
        <w:t>二、单位预算安排的总体情况</w:t>
      </w:r>
    </w:p>
    <w:p>
      <w:pPr>
        <w:pStyle w:val="18"/>
        <w:keepNext w:val="0"/>
        <w:keepLines w:val="0"/>
        <w:pageBreakBefore w:val="0"/>
        <w:widowControl/>
        <w:kinsoku/>
        <w:wordWrap/>
        <w:overflowPunct/>
        <w:topLinePunct w:val="0"/>
        <w:autoSpaceDE/>
        <w:autoSpaceDN/>
        <w:bidi w:val="0"/>
        <w:adjustRightInd/>
        <w:snapToGrid/>
        <w:spacing w:before="0" w:after="0" w:line="500" w:lineRule="exact"/>
        <w:textAlignment w:val="auto"/>
      </w:pPr>
      <w:r>
        <w:rPr>
          <w:rFonts w:hint="eastAsia" w:ascii="仿宋_GB2312" w:hAnsi="仿宋_GB2312" w:eastAsia="仿宋_GB2312" w:cs="仿宋_GB2312"/>
          <w:b w:val="0"/>
          <w:color w:val="000000"/>
          <w:sz w:val="30"/>
          <w:szCs w:val="30"/>
          <w:lang w:val="en-US" w:eastAsia="uk-UA" w:bidi="ar-SA"/>
        </w:rPr>
        <w:t>按照预算管理有关规定，目前单位预算的编制实行综合预算管理，即全部收入和支出都反映在预算中。</w:t>
      </w:r>
    </w:p>
    <w:p>
      <w:pPr>
        <w:pStyle w:val="18"/>
        <w:keepNext w:val="0"/>
        <w:keepLines w:val="0"/>
        <w:pageBreakBefore w:val="0"/>
        <w:widowControl/>
        <w:kinsoku/>
        <w:wordWrap/>
        <w:overflowPunct/>
        <w:topLinePunct w:val="0"/>
        <w:autoSpaceDE/>
        <w:autoSpaceDN/>
        <w:bidi w:val="0"/>
        <w:adjustRightInd/>
        <w:snapToGrid/>
        <w:spacing w:before="0" w:after="0" w:line="500" w:lineRule="exact"/>
        <w:textAlignment w:val="auto"/>
      </w:pPr>
      <w:r>
        <w:rPr>
          <w:rFonts w:hint="eastAsia" w:ascii="楷体_GB2312" w:hAnsi="楷体_GB2312" w:eastAsia="楷体_GB2312" w:cs="楷体_GB2312"/>
          <w:b/>
          <w:color w:val="000000"/>
          <w:sz w:val="32"/>
          <w:szCs w:val="32"/>
          <w:lang w:val="en-US" w:eastAsia="zh-CN" w:bidi="ar-SA"/>
        </w:rPr>
        <w:t>（一）收入说明</w:t>
      </w:r>
    </w:p>
    <w:p>
      <w:pPr>
        <w:pStyle w:val="18"/>
        <w:keepNext w:val="0"/>
        <w:keepLines w:val="0"/>
        <w:pageBreakBefore w:val="0"/>
        <w:widowControl/>
        <w:kinsoku/>
        <w:wordWrap/>
        <w:overflowPunct/>
        <w:topLinePunct w:val="0"/>
        <w:autoSpaceDE/>
        <w:autoSpaceDN/>
        <w:bidi w:val="0"/>
        <w:adjustRightInd/>
        <w:snapToGrid/>
        <w:spacing w:before="0" w:after="0" w:line="500" w:lineRule="exact"/>
        <w:textAlignment w:val="auto"/>
        <w:rPr>
          <w:rFonts w:hint="eastAsia" w:ascii="仿宋_GB2312" w:hAnsi="仿宋_GB2312" w:eastAsia="仿宋_GB2312" w:cs="仿宋_GB2312"/>
          <w:b w:val="0"/>
          <w:color w:val="000000"/>
          <w:sz w:val="30"/>
          <w:szCs w:val="30"/>
          <w:lang w:val="en-US" w:eastAsia="uk-UA" w:bidi="ar-SA"/>
        </w:rPr>
      </w:pPr>
      <w:r>
        <w:rPr>
          <w:rFonts w:hint="eastAsia" w:ascii="仿宋_GB2312" w:hAnsi="仿宋_GB2312" w:eastAsia="仿宋_GB2312" w:cs="仿宋_GB2312"/>
          <w:b w:val="0"/>
          <w:color w:val="000000"/>
          <w:sz w:val="30"/>
          <w:szCs w:val="30"/>
          <w:lang w:val="en-US" w:eastAsia="uk-UA" w:bidi="ar-SA"/>
        </w:rPr>
        <w:t>反映本单位当年全部收入。2026年预算收入752.45万元，其中：一般公共预算收入752.45万元，基金预算收入0.00万元，国有资本经营预算收入0.00万元，财政专户核拨收入0.00万元，单位资金收入0.00万元，上年结转结余0.00万元。</w:t>
      </w:r>
    </w:p>
    <w:p>
      <w:pPr>
        <w:pStyle w:val="18"/>
        <w:keepNext w:val="0"/>
        <w:keepLines w:val="0"/>
        <w:pageBreakBefore w:val="0"/>
        <w:widowControl/>
        <w:kinsoku/>
        <w:wordWrap/>
        <w:overflowPunct/>
        <w:topLinePunct w:val="0"/>
        <w:autoSpaceDE/>
        <w:autoSpaceDN/>
        <w:bidi w:val="0"/>
        <w:adjustRightInd/>
        <w:snapToGrid/>
        <w:spacing w:before="0" w:after="0" w:line="500" w:lineRule="exact"/>
        <w:textAlignment w:val="auto"/>
        <w:rPr>
          <w:rFonts w:hint="eastAsia" w:ascii="楷体_GB2312" w:hAnsi="楷体_GB2312" w:eastAsia="楷体_GB2312" w:cs="楷体_GB2312"/>
          <w:b/>
          <w:color w:val="000000"/>
          <w:sz w:val="32"/>
          <w:szCs w:val="32"/>
          <w:lang w:val="en-US" w:eastAsia="zh-CN" w:bidi="ar-SA"/>
        </w:rPr>
      </w:pPr>
      <w:r>
        <w:rPr>
          <w:rFonts w:hint="eastAsia" w:ascii="楷体_GB2312" w:hAnsi="楷体_GB2312" w:eastAsia="楷体_GB2312" w:cs="楷体_GB2312"/>
          <w:b/>
          <w:color w:val="000000"/>
          <w:sz w:val="32"/>
          <w:szCs w:val="32"/>
          <w:lang w:val="en-US" w:eastAsia="zh-CN" w:bidi="ar-SA"/>
        </w:rPr>
        <w:t>（二）支出说明</w:t>
      </w:r>
    </w:p>
    <w:p>
      <w:pPr>
        <w:pStyle w:val="18"/>
        <w:keepNext w:val="0"/>
        <w:keepLines w:val="0"/>
        <w:pageBreakBefore w:val="0"/>
        <w:widowControl/>
        <w:kinsoku/>
        <w:wordWrap/>
        <w:overflowPunct/>
        <w:topLinePunct w:val="0"/>
        <w:autoSpaceDE/>
        <w:autoSpaceDN/>
        <w:bidi w:val="0"/>
        <w:adjustRightInd/>
        <w:snapToGrid/>
        <w:spacing w:before="0" w:after="0" w:line="500" w:lineRule="exact"/>
        <w:textAlignment w:val="auto"/>
      </w:pPr>
      <w:r>
        <w:rPr>
          <w:rFonts w:hint="eastAsia" w:ascii="仿宋_GB2312" w:hAnsi="仿宋_GB2312" w:eastAsia="仿宋_GB2312" w:cs="仿宋_GB2312"/>
          <w:b w:val="0"/>
          <w:color w:val="000000"/>
          <w:sz w:val="30"/>
          <w:szCs w:val="30"/>
          <w:lang w:val="en-US" w:eastAsia="uk-UA" w:bidi="ar-SA"/>
        </w:rPr>
        <w:t>收支预算总表支出栏、基本支出表、项目支出表按经济分类和支出功能分类科目编制，反映昌黎县人民政府办公室本级年度单位预算中支出预算的总体情况。2026年支出预算752.45万元，其中基本支出713.25万元，包括人员经费650.32万元和日常公用经费62.93万元；项目支出39.20万元，主要为县志办业务经费19.0万元，县政府门户网站运行维护费19.5万元、脱贫人员小额贷款财政贴息.7万元；预计下年使用的单位资金结余0.00万元。委托业务费共计安排14.50万元，主要用于因技术原因确需对外委托的辅助性工作和确有必要对外委托开展咨询、评审、规划等工作。</w:t>
      </w:r>
    </w:p>
    <w:p>
      <w:pPr>
        <w:pStyle w:val="18"/>
        <w:keepNext w:val="0"/>
        <w:keepLines w:val="0"/>
        <w:pageBreakBefore w:val="0"/>
        <w:widowControl/>
        <w:kinsoku/>
        <w:wordWrap/>
        <w:overflowPunct/>
        <w:topLinePunct w:val="0"/>
        <w:autoSpaceDE/>
        <w:autoSpaceDN/>
        <w:bidi w:val="0"/>
        <w:adjustRightInd/>
        <w:snapToGrid/>
        <w:spacing w:before="0" w:after="0" w:line="500" w:lineRule="exact"/>
        <w:textAlignment w:val="auto"/>
        <w:rPr>
          <w:rFonts w:hint="eastAsia" w:ascii="楷体_GB2312" w:hAnsi="楷体_GB2312" w:eastAsia="楷体_GB2312" w:cs="楷体_GB2312"/>
          <w:b/>
          <w:color w:val="000000"/>
          <w:sz w:val="32"/>
          <w:szCs w:val="32"/>
          <w:lang w:val="en-US" w:eastAsia="zh-CN" w:bidi="ar-SA"/>
        </w:rPr>
      </w:pPr>
      <w:r>
        <w:rPr>
          <w:rFonts w:hint="eastAsia" w:ascii="楷体_GB2312" w:hAnsi="楷体_GB2312" w:eastAsia="楷体_GB2312" w:cs="楷体_GB2312"/>
          <w:b/>
          <w:color w:val="000000"/>
          <w:sz w:val="32"/>
          <w:szCs w:val="32"/>
          <w:lang w:val="en-US" w:eastAsia="zh-CN" w:bidi="ar-SA"/>
        </w:rPr>
        <w:t>（三）比上年增减情况</w:t>
      </w:r>
    </w:p>
    <w:p>
      <w:pPr>
        <w:pStyle w:val="18"/>
        <w:keepNext w:val="0"/>
        <w:keepLines w:val="0"/>
        <w:pageBreakBefore w:val="0"/>
        <w:widowControl/>
        <w:kinsoku/>
        <w:wordWrap/>
        <w:overflowPunct/>
        <w:topLinePunct w:val="0"/>
        <w:autoSpaceDE/>
        <w:autoSpaceDN/>
        <w:bidi w:val="0"/>
        <w:adjustRightInd/>
        <w:snapToGrid/>
        <w:spacing w:before="0" w:after="0" w:line="500" w:lineRule="exact"/>
        <w:textAlignment w:val="auto"/>
        <w:rPr>
          <w:rFonts w:hint="eastAsia" w:ascii="仿宋_GB2312" w:hAnsi="仿宋_GB2312" w:eastAsia="仿宋_GB2312" w:cs="仿宋_GB2312"/>
          <w:b w:val="0"/>
          <w:color w:val="000000"/>
          <w:sz w:val="30"/>
          <w:szCs w:val="30"/>
          <w:lang w:val="en-US" w:eastAsia="uk-UA" w:bidi="ar-SA"/>
        </w:rPr>
      </w:pPr>
      <w:r>
        <w:rPr>
          <w:rFonts w:hint="eastAsia" w:ascii="仿宋_GB2312" w:hAnsi="仿宋_GB2312" w:eastAsia="仿宋_GB2312" w:cs="仿宋_GB2312"/>
          <w:b w:val="0"/>
          <w:color w:val="000000"/>
          <w:sz w:val="30"/>
          <w:szCs w:val="30"/>
          <w:lang w:val="en-US" w:eastAsia="uk-UA" w:bidi="ar-SA"/>
        </w:rPr>
        <w:t>2026年预算收支安排752.45万元，较2025年预算增加46.66万元，其中：基本支出增加24.16万元，主要为人员经费增加44.63万元，日常公用经费减少20.46万元。项目支出增加22.50万元，主要为县志办业务经费增加19.0万元、县政府门户网站运行维护费增加3.5万元。预计下年使用的单位资金结余增加0.00万元。</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outlineLvl w:val="5"/>
      </w:pPr>
      <w:r>
        <w:rPr>
          <w:rFonts w:ascii="黑体" w:hAnsi="黑体" w:eastAsia="黑体" w:cs="黑体"/>
          <w:color w:val="000000"/>
          <w:sz w:val="32"/>
        </w:rPr>
        <w:t>三、机关运行经费安排情况</w:t>
      </w:r>
    </w:p>
    <w:p>
      <w:pPr>
        <w:pStyle w:val="18"/>
        <w:keepNext w:val="0"/>
        <w:keepLines w:val="0"/>
        <w:pageBreakBefore w:val="0"/>
        <w:widowControl/>
        <w:kinsoku/>
        <w:wordWrap/>
        <w:overflowPunct/>
        <w:topLinePunct w:val="0"/>
        <w:autoSpaceDE/>
        <w:autoSpaceDN/>
        <w:bidi w:val="0"/>
        <w:adjustRightInd/>
        <w:snapToGrid/>
        <w:spacing w:before="0" w:after="0" w:line="500" w:lineRule="exact"/>
        <w:textAlignment w:val="auto"/>
        <w:rPr>
          <w:rFonts w:hint="eastAsia" w:ascii="仿宋_GB2312" w:hAnsi="仿宋_GB2312" w:eastAsia="仿宋_GB2312" w:cs="仿宋_GB2312"/>
          <w:b w:val="0"/>
          <w:color w:val="000000"/>
          <w:sz w:val="30"/>
          <w:szCs w:val="30"/>
          <w:lang w:val="en-US" w:eastAsia="uk-UA" w:bidi="ar-SA"/>
        </w:rPr>
      </w:pPr>
      <w:r>
        <w:rPr>
          <w:rFonts w:hint="eastAsia" w:ascii="仿宋_GB2312" w:hAnsi="仿宋_GB2312" w:eastAsia="仿宋_GB2312" w:cs="仿宋_GB2312"/>
          <w:b w:val="0"/>
          <w:color w:val="000000"/>
          <w:sz w:val="30"/>
          <w:szCs w:val="30"/>
          <w:lang w:val="en-US" w:eastAsia="uk-UA" w:bidi="ar-SA"/>
        </w:rPr>
        <w:t>2026年，我单位机关运行经费共计安排62.93万元，主要用于日常维修、办公用房水电费、办公用房取暖费、办公用房物业管理费等日常运行支出。</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outlineLvl w:val="5"/>
      </w:pPr>
      <w:r>
        <w:rPr>
          <w:rFonts w:ascii="黑体" w:hAnsi="黑体" w:eastAsia="黑体" w:cs="黑体"/>
          <w:color w:val="000000"/>
          <w:sz w:val="32"/>
        </w:rPr>
        <w:t>四、财政拨款“三公”经费预算情况及增减变化原因</w:t>
      </w:r>
    </w:p>
    <w:p>
      <w:pPr>
        <w:pStyle w:val="18"/>
        <w:keepNext w:val="0"/>
        <w:keepLines w:val="0"/>
        <w:pageBreakBefore w:val="0"/>
        <w:widowControl/>
        <w:kinsoku/>
        <w:wordWrap/>
        <w:overflowPunct/>
        <w:topLinePunct w:val="0"/>
        <w:autoSpaceDE/>
        <w:autoSpaceDN/>
        <w:bidi w:val="0"/>
        <w:adjustRightInd/>
        <w:snapToGrid/>
        <w:spacing w:before="0" w:after="0" w:line="500" w:lineRule="exact"/>
        <w:textAlignment w:val="auto"/>
        <w:rPr>
          <w:rFonts w:hint="eastAsia" w:ascii="仿宋_GB2312" w:hAnsi="仿宋_GB2312" w:eastAsia="仿宋_GB2312" w:cs="仿宋_GB2312"/>
          <w:b w:val="0"/>
          <w:color w:val="000000"/>
          <w:sz w:val="30"/>
          <w:szCs w:val="30"/>
          <w:lang w:val="en-US" w:eastAsia="uk-UA" w:bidi="ar-SA"/>
        </w:rPr>
      </w:pPr>
      <w:r>
        <w:rPr>
          <w:rFonts w:hint="eastAsia" w:ascii="仿宋_GB2312" w:hAnsi="仿宋_GB2312" w:eastAsia="仿宋_GB2312" w:cs="仿宋_GB2312"/>
          <w:b w:val="0"/>
          <w:color w:val="000000"/>
          <w:sz w:val="30"/>
          <w:szCs w:val="30"/>
          <w:lang w:val="en-US" w:eastAsia="uk-UA" w:bidi="ar-SA"/>
        </w:rPr>
        <w:t>2026年，我单位财政拨款“三公”经费预算安排9.80万元，其中因公出国（境）费0.00万元；公务用车购置及运维费9.80万元（其中：公务用车购置费为0.00万元，公务用车运维费9.80万元)；公务接待费0.00万元。与2025年相比减少2.80万元，增减变化的主要原因是为落实习惯过紧日子要求，压减公务用车运行维护费2.8万元。</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hint="eastAsia" w:ascii="仿宋_GB2312" w:hAnsi="仿宋_GB2312" w:eastAsia="仿宋_GB2312" w:cs="仿宋_GB2312"/>
          <w:b/>
          <w:bCs/>
          <w:color w:val="000000"/>
          <w:sz w:val="30"/>
          <w:szCs w:val="30"/>
          <w:lang w:val="en-US" w:eastAsia="uk-UA" w:bidi="ar-SA"/>
        </w:rPr>
        <w:t>1</w:t>
      </w:r>
      <w:r>
        <w:rPr>
          <w:rFonts w:hint="eastAsia" w:ascii="仿宋_GB2312" w:hAnsi="仿宋_GB2312" w:eastAsia="仿宋_GB2312" w:cs="仿宋_GB2312"/>
          <w:b/>
          <w:bCs/>
          <w:color w:val="000000"/>
          <w:sz w:val="30"/>
          <w:szCs w:val="30"/>
          <w:lang w:val="en-US" w:eastAsia="zh-CN" w:bidi="ar-SA"/>
        </w:rPr>
        <w:t>.</w:t>
      </w:r>
      <w:r>
        <w:rPr>
          <w:rFonts w:hint="eastAsia" w:ascii="仿宋_GB2312" w:hAnsi="仿宋_GB2312" w:eastAsia="仿宋_GB2312" w:cs="仿宋_GB2312"/>
          <w:b/>
          <w:bCs/>
          <w:color w:val="000000"/>
          <w:sz w:val="30"/>
          <w:szCs w:val="30"/>
          <w:lang w:val="en-US" w:eastAsia="uk-UA" w:bidi="ar-SA"/>
        </w:rPr>
        <w:t>脱贫人口小额贷款财政贴息绩效目标表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13032226P00212210191E</w:t>
            </w:r>
          </w:p>
        </w:tc>
        <w:tc>
          <w:tcPr>
            <w:tcW w:w="2835" w:type="dxa"/>
            <w:vAlign w:val="center"/>
          </w:tcPr>
          <w:p>
            <w:pPr>
              <w:pStyle w:val="10"/>
            </w:pPr>
            <w:r>
              <w:t>项目名称</w:t>
            </w:r>
          </w:p>
        </w:tc>
        <w:tc>
          <w:tcPr>
            <w:tcW w:w="6095" w:type="dxa"/>
            <w:gridSpan w:val="3"/>
            <w:vAlign w:val="center"/>
          </w:tcPr>
          <w:p>
            <w:pPr>
              <w:pStyle w:val="12"/>
            </w:pPr>
            <w:r>
              <w:t>脱贫人口小额贷款财政贴息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0.70</w:t>
            </w:r>
          </w:p>
        </w:tc>
        <w:tc>
          <w:tcPr>
            <w:tcW w:w="2835" w:type="dxa"/>
            <w:vAlign w:val="center"/>
          </w:tcPr>
          <w:p>
            <w:pPr>
              <w:pStyle w:val="10"/>
            </w:pPr>
            <w:r>
              <w:t>其中：财政    资金</w:t>
            </w:r>
          </w:p>
        </w:tc>
        <w:tc>
          <w:tcPr>
            <w:tcW w:w="2551" w:type="dxa"/>
            <w:vAlign w:val="center"/>
          </w:tcPr>
          <w:p>
            <w:pPr>
              <w:pStyle w:val="12"/>
            </w:pPr>
            <w:r>
              <w:t>0.70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用于支付脱贫人员小额贷款贴息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1.完成脱贫小额贷款户小额贷款财政贴息支付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脱贫贷款户贴息户数或个人数量</w:t>
            </w:r>
          </w:p>
        </w:tc>
        <w:tc>
          <w:tcPr>
            <w:tcW w:w="5386" w:type="dxa"/>
            <w:vAlign w:val="center"/>
          </w:tcPr>
          <w:p>
            <w:pPr>
              <w:pStyle w:val="12"/>
            </w:pPr>
            <w:r>
              <w:t>脱贫贷款贴息单位或个人数量</w:t>
            </w:r>
          </w:p>
        </w:tc>
        <w:tc>
          <w:tcPr>
            <w:tcW w:w="2268" w:type="dxa"/>
            <w:vAlign w:val="center"/>
          </w:tcPr>
          <w:p>
            <w:pPr>
              <w:pStyle w:val="12"/>
            </w:pPr>
            <w:r>
              <w:t>≥7户</w:t>
            </w:r>
          </w:p>
        </w:tc>
        <w:tc>
          <w:tcPr>
            <w:tcW w:w="1276" w:type="dxa"/>
            <w:vAlign w:val="center"/>
          </w:tcPr>
          <w:p>
            <w:pPr>
              <w:pStyle w:val="12"/>
            </w:pPr>
            <w:r>
              <w:t>《昌黎县扶贫贷款贴息资金管理办法》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补助覆盖率</w:t>
            </w:r>
          </w:p>
        </w:tc>
        <w:tc>
          <w:tcPr>
            <w:tcW w:w="5386" w:type="dxa"/>
            <w:vAlign w:val="center"/>
          </w:tcPr>
          <w:p>
            <w:pPr>
              <w:pStyle w:val="12"/>
            </w:pPr>
            <w:r>
              <w:t>实际享受补助人数占应补助人数比例</w:t>
            </w:r>
          </w:p>
        </w:tc>
        <w:tc>
          <w:tcPr>
            <w:tcW w:w="2268" w:type="dxa"/>
            <w:vAlign w:val="center"/>
          </w:tcPr>
          <w:p>
            <w:pPr>
              <w:pStyle w:val="12"/>
            </w:pPr>
            <w:r>
              <w:t>≥98%</w:t>
            </w:r>
          </w:p>
        </w:tc>
        <w:tc>
          <w:tcPr>
            <w:tcW w:w="1276" w:type="dxa"/>
            <w:vAlign w:val="center"/>
          </w:tcPr>
          <w:p>
            <w:pPr>
              <w:pStyle w:val="12"/>
            </w:pPr>
            <w:r>
              <w:t>《昌黎县扶贫贷款贴息资金管理办法》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补助发放及时性</w:t>
            </w:r>
          </w:p>
        </w:tc>
        <w:tc>
          <w:tcPr>
            <w:tcW w:w="5386" w:type="dxa"/>
            <w:vAlign w:val="center"/>
          </w:tcPr>
          <w:p>
            <w:pPr>
              <w:pStyle w:val="12"/>
            </w:pPr>
            <w:r>
              <w:t>按时发放补助金额占实际发放补助金额比例</w:t>
            </w:r>
          </w:p>
        </w:tc>
        <w:tc>
          <w:tcPr>
            <w:tcW w:w="2268" w:type="dxa"/>
            <w:vAlign w:val="center"/>
          </w:tcPr>
          <w:p>
            <w:pPr>
              <w:pStyle w:val="12"/>
            </w:pPr>
            <w:r>
              <w:t>≥98%</w:t>
            </w:r>
          </w:p>
        </w:tc>
        <w:tc>
          <w:tcPr>
            <w:tcW w:w="1276" w:type="dxa"/>
            <w:vAlign w:val="center"/>
          </w:tcPr>
          <w:p>
            <w:pPr>
              <w:pStyle w:val="12"/>
            </w:pPr>
            <w:r>
              <w:t>《昌黎县扶贫贷款贴息资金管理办法》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发放金额占预算成本的比例</w:t>
            </w:r>
          </w:p>
        </w:tc>
        <w:tc>
          <w:tcPr>
            <w:tcW w:w="2268" w:type="dxa"/>
            <w:vAlign w:val="center"/>
          </w:tcPr>
          <w:p>
            <w:pPr>
              <w:pStyle w:val="12"/>
            </w:pPr>
            <w:r>
              <w:t>≤100%</w:t>
            </w:r>
          </w:p>
        </w:tc>
        <w:tc>
          <w:tcPr>
            <w:tcW w:w="1276" w:type="dxa"/>
            <w:vAlign w:val="center"/>
          </w:tcPr>
          <w:p>
            <w:pPr>
              <w:pStyle w:val="12"/>
            </w:pPr>
            <w:r>
              <w:t>《昌黎县扶贫贷款贴息资金管理办法》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提高财政资金的使用效率</w:t>
            </w:r>
          </w:p>
        </w:tc>
        <w:tc>
          <w:tcPr>
            <w:tcW w:w="5386" w:type="dxa"/>
            <w:vAlign w:val="center"/>
          </w:tcPr>
          <w:p>
            <w:pPr>
              <w:pStyle w:val="12"/>
            </w:pPr>
            <w:r>
              <w:t>通过科学编制预算，严格遵守各项规章制度，提高财政资金的使用效率，做到节俭高效。</w:t>
            </w:r>
          </w:p>
        </w:tc>
        <w:tc>
          <w:tcPr>
            <w:tcW w:w="2268" w:type="dxa"/>
            <w:vAlign w:val="center"/>
          </w:tcPr>
          <w:p>
            <w:pPr>
              <w:pStyle w:val="12"/>
            </w:pPr>
            <w:r>
              <w:t>较上年提高</w:t>
            </w:r>
          </w:p>
        </w:tc>
        <w:tc>
          <w:tcPr>
            <w:tcW w:w="1276" w:type="dxa"/>
            <w:vAlign w:val="center"/>
          </w:tcPr>
          <w:p>
            <w:pPr>
              <w:pStyle w:val="12"/>
            </w:pPr>
            <w:r>
              <w:t>《昌黎县扶贫贷款贴息资金管理办法》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保持工作稳定、持续开展实现率</w:t>
            </w:r>
          </w:p>
        </w:tc>
        <w:tc>
          <w:tcPr>
            <w:tcW w:w="5386" w:type="dxa"/>
            <w:vAlign w:val="center"/>
          </w:tcPr>
          <w:p>
            <w:pPr>
              <w:pStyle w:val="12"/>
            </w:pPr>
            <w:r>
              <w:t>有效保证业务工作顺利开展</w:t>
            </w:r>
          </w:p>
        </w:tc>
        <w:tc>
          <w:tcPr>
            <w:tcW w:w="2268" w:type="dxa"/>
            <w:vAlign w:val="center"/>
          </w:tcPr>
          <w:p>
            <w:pPr>
              <w:pStyle w:val="12"/>
            </w:pPr>
            <w:r>
              <w:t>较上年提高</w:t>
            </w:r>
          </w:p>
        </w:tc>
        <w:tc>
          <w:tcPr>
            <w:tcW w:w="1276" w:type="dxa"/>
            <w:vAlign w:val="center"/>
          </w:tcPr>
          <w:p>
            <w:pPr>
              <w:pStyle w:val="12"/>
            </w:pPr>
            <w:r>
              <w:t>《昌黎县扶贫贷款贴息资金管理办法》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降低能耗</w:t>
            </w:r>
          </w:p>
        </w:tc>
        <w:tc>
          <w:tcPr>
            <w:tcW w:w="5386" w:type="dxa"/>
            <w:vAlign w:val="center"/>
          </w:tcPr>
          <w:p>
            <w:pPr>
              <w:pStyle w:val="12"/>
            </w:pPr>
            <w:r>
              <w:t>厉行节约，降低能耗，实现绿色办公</w:t>
            </w:r>
          </w:p>
        </w:tc>
        <w:tc>
          <w:tcPr>
            <w:tcW w:w="2268" w:type="dxa"/>
            <w:vAlign w:val="center"/>
          </w:tcPr>
          <w:p>
            <w:pPr>
              <w:pStyle w:val="12"/>
            </w:pPr>
            <w:r>
              <w:t>不高于上年</w:t>
            </w:r>
          </w:p>
        </w:tc>
        <w:tc>
          <w:tcPr>
            <w:tcW w:w="1276" w:type="dxa"/>
            <w:vAlign w:val="center"/>
          </w:tcPr>
          <w:p>
            <w:pPr>
              <w:pStyle w:val="12"/>
            </w:pPr>
            <w:r>
              <w:t>《昌黎县扶贫贷款贴息资金管理办法》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保障贴息工作的有序运转年限</w:t>
            </w:r>
          </w:p>
        </w:tc>
        <w:tc>
          <w:tcPr>
            <w:tcW w:w="2268" w:type="dxa"/>
            <w:vAlign w:val="center"/>
          </w:tcPr>
          <w:p>
            <w:pPr>
              <w:pStyle w:val="12"/>
            </w:pPr>
            <w:r>
              <w:t>1年</w:t>
            </w:r>
          </w:p>
        </w:tc>
        <w:tc>
          <w:tcPr>
            <w:tcW w:w="1276" w:type="dxa"/>
            <w:vAlign w:val="center"/>
          </w:tcPr>
          <w:p>
            <w:pPr>
              <w:pStyle w:val="12"/>
            </w:pPr>
            <w:r>
              <w:t>《昌黎县扶贫贷款贴息资金管理办法》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通过走访调查，满意和比较满意的人数占全部调查人数的比率</w:t>
            </w:r>
          </w:p>
        </w:tc>
        <w:tc>
          <w:tcPr>
            <w:tcW w:w="2268" w:type="dxa"/>
            <w:vAlign w:val="center"/>
          </w:tcPr>
          <w:p>
            <w:pPr>
              <w:pStyle w:val="12"/>
            </w:pPr>
            <w:r>
              <w:t>≥95%</w:t>
            </w:r>
          </w:p>
        </w:tc>
        <w:tc>
          <w:tcPr>
            <w:tcW w:w="1276" w:type="dxa"/>
            <w:vAlign w:val="center"/>
          </w:tcPr>
          <w:p>
            <w:pPr>
              <w:pStyle w:val="12"/>
            </w:pPr>
            <w:r>
              <w:t>《昌黎县扶贫贷款贴息资金管理办法》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rPr>
          <w:rFonts w:hint="eastAsia" w:ascii="仿宋_GB2312" w:hAnsi="仿宋_GB2312" w:eastAsia="仿宋_GB2312" w:cs="仿宋_GB2312"/>
          <w:b/>
          <w:bCs/>
          <w:color w:val="000000"/>
          <w:sz w:val="30"/>
          <w:szCs w:val="30"/>
          <w:lang w:val="en-US" w:eastAsia="uk-UA" w:bidi="ar-SA"/>
        </w:rPr>
      </w:pPr>
      <w:r>
        <w:rPr>
          <w:rFonts w:hint="eastAsia" w:ascii="仿宋_GB2312" w:hAnsi="仿宋_GB2312" w:eastAsia="仿宋_GB2312" w:cs="仿宋_GB2312"/>
          <w:b/>
          <w:bCs/>
          <w:color w:val="000000"/>
          <w:sz w:val="30"/>
          <w:szCs w:val="30"/>
          <w:lang w:val="en-US" w:eastAsia="uk-UA" w:bidi="ar-SA"/>
        </w:rPr>
        <w:t>2</w:t>
      </w:r>
      <w:r>
        <w:rPr>
          <w:rFonts w:hint="eastAsia" w:ascii="仿宋_GB2312" w:hAnsi="仿宋_GB2312" w:eastAsia="仿宋_GB2312" w:cs="仿宋_GB2312"/>
          <w:b/>
          <w:bCs/>
          <w:color w:val="000000"/>
          <w:sz w:val="30"/>
          <w:szCs w:val="30"/>
          <w:lang w:val="en-US" w:eastAsia="zh-CN" w:bidi="ar-SA"/>
        </w:rPr>
        <w:t>.</w:t>
      </w:r>
      <w:r>
        <w:rPr>
          <w:rFonts w:hint="eastAsia" w:ascii="仿宋_GB2312" w:hAnsi="仿宋_GB2312" w:eastAsia="仿宋_GB2312" w:cs="仿宋_GB2312"/>
          <w:b/>
          <w:bCs/>
          <w:color w:val="000000"/>
          <w:sz w:val="30"/>
          <w:szCs w:val="30"/>
          <w:lang w:val="en-US" w:eastAsia="uk-UA" w:bidi="ar-SA"/>
        </w:rPr>
        <w:t>县政府门户网站运行维护费绩效目标表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13032226P00212710009K</w:t>
            </w:r>
          </w:p>
        </w:tc>
        <w:tc>
          <w:tcPr>
            <w:tcW w:w="2835" w:type="dxa"/>
            <w:vAlign w:val="center"/>
          </w:tcPr>
          <w:p>
            <w:pPr>
              <w:pStyle w:val="10"/>
            </w:pPr>
            <w:r>
              <w:t>项目名称</w:t>
            </w:r>
          </w:p>
        </w:tc>
        <w:tc>
          <w:tcPr>
            <w:tcW w:w="6095" w:type="dxa"/>
            <w:gridSpan w:val="3"/>
            <w:vAlign w:val="center"/>
          </w:tcPr>
          <w:p>
            <w:pPr>
              <w:pStyle w:val="12"/>
            </w:pPr>
            <w:r>
              <w:t>县政府门户网站运行维护费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19.50</w:t>
            </w:r>
          </w:p>
        </w:tc>
        <w:tc>
          <w:tcPr>
            <w:tcW w:w="2835" w:type="dxa"/>
            <w:vAlign w:val="center"/>
          </w:tcPr>
          <w:p>
            <w:pPr>
              <w:pStyle w:val="10"/>
            </w:pPr>
            <w:r>
              <w:t>其中：财政    资金</w:t>
            </w:r>
          </w:p>
        </w:tc>
        <w:tc>
          <w:tcPr>
            <w:tcW w:w="2551" w:type="dxa"/>
            <w:vAlign w:val="center"/>
          </w:tcPr>
          <w:p>
            <w:pPr>
              <w:pStyle w:val="12"/>
            </w:pPr>
            <w:r>
              <w:t>19.50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支付县政府门户网站监测、维保等费用。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1.保障县政府门户网站运行安全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保障安全有序网站数量</w:t>
            </w:r>
          </w:p>
        </w:tc>
        <w:tc>
          <w:tcPr>
            <w:tcW w:w="5386" w:type="dxa"/>
            <w:vAlign w:val="center"/>
          </w:tcPr>
          <w:p>
            <w:pPr>
              <w:pStyle w:val="12"/>
            </w:pPr>
            <w:r>
              <w:t>保障安全有序网站数量</w:t>
            </w:r>
          </w:p>
        </w:tc>
        <w:tc>
          <w:tcPr>
            <w:tcW w:w="2268" w:type="dxa"/>
            <w:vAlign w:val="center"/>
          </w:tcPr>
          <w:p>
            <w:pPr>
              <w:pStyle w:val="12"/>
            </w:pPr>
            <w:r>
              <w:t>1个</w:t>
            </w:r>
          </w:p>
        </w:tc>
        <w:tc>
          <w:tcPr>
            <w:tcW w:w="1276" w:type="dxa"/>
            <w:vAlign w:val="center"/>
          </w:tcPr>
          <w:p>
            <w:pPr>
              <w:pStyle w:val="12"/>
            </w:pPr>
            <w:r>
              <w:t>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维护网站完成率</w:t>
            </w:r>
          </w:p>
        </w:tc>
        <w:tc>
          <w:tcPr>
            <w:tcW w:w="5386" w:type="dxa"/>
            <w:vAlign w:val="center"/>
          </w:tcPr>
          <w:p>
            <w:pPr>
              <w:pStyle w:val="12"/>
            </w:pPr>
            <w:r>
              <w:t>网站维护升级工作完成情况</w:t>
            </w:r>
          </w:p>
        </w:tc>
        <w:tc>
          <w:tcPr>
            <w:tcW w:w="2268" w:type="dxa"/>
            <w:vAlign w:val="center"/>
          </w:tcPr>
          <w:p>
            <w:pPr>
              <w:pStyle w:val="12"/>
            </w:pPr>
            <w:r>
              <w:t>≥98%</w:t>
            </w:r>
          </w:p>
        </w:tc>
        <w:tc>
          <w:tcPr>
            <w:tcW w:w="1276" w:type="dxa"/>
            <w:vAlign w:val="center"/>
          </w:tcPr>
          <w:p>
            <w:pPr>
              <w:pStyle w:val="12"/>
            </w:pPr>
            <w:r>
              <w:t>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维护及时率</w:t>
            </w:r>
          </w:p>
        </w:tc>
        <w:tc>
          <w:tcPr>
            <w:tcW w:w="5386" w:type="dxa"/>
            <w:vAlign w:val="center"/>
          </w:tcPr>
          <w:p>
            <w:pPr>
              <w:pStyle w:val="12"/>
            </w:pPr>
            <w:r>
              <w:t>网站维护及时率</w:t>
            </w:r>
          </w:p>
        </w:tc>
        <w:tc>
          <w:tcPr>
            <w:tcW w:w="2268" w:type="dxa"/>
            <w:vAlign w:val="center"/>
          </w:tcPr>
          <w:p>
            <w:pPr>
              <w:pStyle w:val="12"/>
            </w:pPr>
            <w:r>
              <w:t>≥98%</w:t>
            </w:r>
          </w:p>
        </w:tc>
        <w:tc>
          <w:tcPr>
            <w:tcW w:w="1276" w:type="dxa"/>
            <w:vAlign w:val="center"/>
          </w:tcPr>
          <w:p>
            <w:pPr>
              <w:pStyle w:val="12"/>
            </w:pPr>
            <w:r>
              <w:t>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云监测服务费成本</w:t>
            </w:r>
          </w:p>
        </w:tc>
        <w:tc>
          <w:tcPr>
            <w:tcW w:w="5386" w:type="dxa"/>
            <w:vAlign w:val="center"/>
          </w:tcPr>
          <w:p>
            <w:pPr>
              <w:pStyle w:val="12"/>
            </w:pPr>
            <w:r>
              <w:t>完成网站云监测服务的成本</w:t>
            </w:r>
          </w:p>
        </w:tc>
        <w:tc>
          <w:tcPr>
            <w:tcW w:w="2268" w:type="dxa"/>
            <w:vAlign w:val="center"/>
          </w:tcPr>
          <w:p>
            <w:pPr>
              <w:pStyle w:val="12"/>
            </w:pPr>
            <w:r>
              <w:t>≤5万元</w:t>
            </w:r>
          </w:p>
        </w:tc>
        <w:tc>
          <w:tcPr>
            <w:tcW w:w="1276" w:type="dxa"/>
            <w:vAlign w:val="center"/>
          </w:tcPr>
          <w:p>
            <w:pPr>
              <w:pStyle w:val="12"/>
            </w:pPr>
            <w:r>
              <w:t>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提高财政资金的使用效率</w:t>
            </w:r>
          </w:p>
        </w:tc>
        <w:tc>
          <w:tcPr>
            <w:tcW w:w="5386" w:type="dxa"/>
            <w:vAlign w:val="center"/>
          </w:tcPr>
          <w:p>
            <w:pPr>
              <w:pStyle w:val="12"/>
            </w:pPr>
            <w:r>
              <w:t>通过科学编制预算，严格遵守各项规章制度，提高财政资金的使用效率，做到节俭高效。</w:t>
            </w:r>
          </w:p>
        </w:tc>
        <w:tc>
          <w:tcPr>
            <w:tcW w:w="2268" w:type="dxa"/>
            <w:vAlign w:val="center"/>
          </w:tcPr>
          <w:p>
            <w:pPr>
              <w:pStyle w:val="12"/>
            </w:pPr>
            <w:r>
              <w:t>较上年提高</w:t>
            </w:r>
          </w:p>
        </w:tc>
        <w:tc>
          <w:tcPr>
            <w:tcW w:w="1276" w:type="dxa"/>
            <w:vAlign w:val="center"/>
          </w:tcPr>
          <w:p>
            <w:pPr>
              <w:pStyle w:val="12"/>
            </w:pPr>
            <w:r>
              <w:t>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保持工作稳定、持续开展实现率</w:t>
            </w:r>
          </w:p>
        </w:tc>
        <w:tc>
          <w:tcPr>
            <w:tcW w:w="5386" w:type="dxa"/>
            <w:vAlign w:val="center"/>
          </w:tcPr>
          <w:p>
            <w:pPr>
              <w:pStyle w:val="12"/>
            </w:pPr>
            <w:r>
              <w:t>有效保证业务工作顺利开展</w:t>
            </w:r>
          </w:p>
        </w:tc>
        <w:tc>
          <w:tcPr>
            <w:tcW w:w="2268" w:type="dxa"/>
            <w:vAlign w:val="center"/>
          </w:tcPr>
          <w:p>
            <w:pPr>
              <w:pStyle w:val="12"/>
            </w:pPr>
            <w:r>
              <w:t>较上年提高</w:t>
            </w:r>
          </w:p>
        </w:tc>
        <w:tc>
          <w:tcPr>
            <w:tcW w:w="1276" w:type="dxa"/>
            <w:vAlign w:val="center"/>
          </w:tcPr>
          <w:p>
            <w:pPr>
              <w:pStyle w:val="12"/>
            </w:pPr>
            <w:r>
              <w:t>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降低能耗</w:t>
            </w:r>
          </w:p>
        </w:tc>
        <w:tc>
          <w:tcPr>
            <w:tcW w:w="5386" w:type="dxa"/>
            <w:vAlign w:val="center"/>
          </w:tcPr>
          <w:p>
            <w:pPr>
              <w:pStyle w:val="12"/>
            </w:pPr>
            <w:r>
              <w:t>厉行节约，降低能耗，实现绿色办公</w:t>
            </w:r>
          </w:p>
        </w:tc>
        <w:tc>
          <w:tcPr>
            <w:tcW w:w="2268" w:type="dxa"/>
            <w:vAlign w:val="center"/>
          </w:tcPr>
          <w:p>
            <w:pPr>
              <w:pStyle w:val="12"/>
            </w:pPr>
            <w:r>
              <w:t>不高于上年</w:t>
            </w:r>
          </w:p>
        </w:tc>
        <w:tc>
          <w:tcPr>
            <w:tcW w:w="1276" w:type="dxa"/>
            <w:vAlign w:val="center"/>
          </w:tcPr>
          <w:p>
            <w:pPr>
              <w:pStyle w:val="12"/>
            </w:pPr>
            <w:r>
              <w:t>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保障日常工作的有序运转年限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工作任务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仿宋_GB2312" w:hAnsi="仿宋_GB2312" w:eastAsia="仿宋_GB2312" w:cs="仿宋_GB2312"/>
          <w:b/>
          <w:bCs/>
          <w:color w:val="000000"/>
          <w:sz w:val="30"/>
          <w:szCs w:val="30"/>
          <w:lang w:val="en-US" w:eastAsia="uk-UA" w:bidi="ar-SA"/>
        </w:rPr>
        <w:t>3</w:t>
      </w:r>
      <w:r>
        <w:rPr>
          <w:rFonts w:hint="eastAsia" w:ascii="仿宋_GB2312" w:hAnsi="仿宋_GB2312" w:eastAsia="仿宋_GB2312" w:cs="仿宋_GB2312"/>
          <w:b/>
          <w:bCs/>
          <w:color w:val="000000"/>
          <w:sz w:val="30"/>
          <w:szCs w:val="30"/>
          <w:lang w:val="en-US" w:eastAsia="zh-CN" w:bidi="ar-SA"/>
        </w:rPr>
        <w:t>.</w:t>
      </w:r>
      <w:r>
        <w:rPr>
          <w:rFonts w:hint="eastAsia" w:ascii="仿宋_GB2312" w:hAnsi="仿宋_GB2312" w:eastAsia="仿宋_GB2312" w:cs="仿宋_GB2312"/>
          <w:b/>
          <w:bCs/>
          <w:color w:val="000000"/>
          <w:sz w:val="30"/>
          <w:szCs w:val="30"/>
          <w:lang w:val="en-US" w:eastAsia="uk-UA" w:bidi="ar-SA"/>
        </w:rPr>
        <w:t>县志办业务经费绩效目标表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13032226P002313100018</w:t>
            </w:r>
          </w:p>
        </w:tc>
        <w:tc>
          <w:tcPr>
            <w:tcW w:w="2835" w:type="dxa"/>
            <w:vAlign w:val="center"/>
          </w:tcPr>
          <w:p>
            <w:pPr>
              <w:pStyle w:val="10"/>
            </w:pPr>
            <w:r>
              <w:t>项目名称</w:t>
            </w:r>
          </w:p>
        </w:tc>
        <w:tc>
          <w:tcPr>
            <w:tcW w:w="6095" w:type="dxa"/>
            <w:gridSpan w:val="3"/>
            <w:vAlign w:val="center"/>
          </w:tcPr>
          <w:p>
            <w:pPr>
              <w:pStyle w:val="12"/>
            </w:pPr>
            <w:r>
              <w:t>县志办业务经费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19.00</w:t>
            </w:r>
          </w:p>
        </w:tc>
        <w:tc>
          <w:tcPr>
            <w:tcW w:w="2835" w:type="dxa"/>
            <w:vAlign w:val="center"/>
          </w:tcPr>
          <w:p>
            <w:pPr>
              <w:pStyle w:val="10"/>
            </w:pPr>
            <w:r>
              <w:t>其中：财政    资金</w:t>
            </w:r>
          </w:p>
        </w:tc>
        <w:tc>
          <w:tcPr>
            <w:tcW w:w="2551" w:type="dxa"/>
            <w:vAlign w:val="center"/>
          </w:tcPr>
          <w:p>
            <w:pPr>
              <w:pStyle w:val="12"/>
            </w:pPr>
            <w:r>
              <w:t>19.00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支付《昌黎年鉴》2025卷印刷费、《昌黎年鉴》2026卷出版费等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1.完成《昌黎年鉴》2026卷出版印刷</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《昌黎年鉴》印数</w:t>
            </w:r>
          </w:p>
        </w:tc>
        <w:tc>
          <w:tcPr>
            <w:tcW w:w="5386" w:type="dxa"/>
            <w:vAlign w:val="center"/>
          </w:tcPr>
          <w:p>
            <w:pPr>
              <w:pStyle w:val="12"/>
            </w:pPr>
            <w:r>
              <w:t>《昌黎年鉴》完成印刷数量</w:t>
            </w:r>
          </w:p>
        </w:tc>
        <w:tc>
          <w:tcPr>
            <w:tcW w:w="2268" w:type="dxa"/>
            <w:vAlign w:val="center"/>
          </w:tcPr>
          <w:p>
            <w:pPr>
              <w:pStyle w:val="12"/>
            </w:pPr>
            <w:r>
              <w:t>≥1000册</w:t>
            </w:r>
          </w:p>
        </w:tc>
        <w:tc>
          <w:tcPr>
            <w:tcW w:w="1276" w:type="dxa"/>
            <w:vAlign w:val="center"/>
          </w:tcPr>
          <w:p>
            <w:pPr>
              <w:pStyle w:val="12"/>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书籍印刷合格率</w:t>
            </w:r>
          </w:p>
        </w:tc>
        <w:tc>
          <w:tcPr>
            <w:tcW w:w="5386" w:type="dxa"/>
            <w:vAlign w:val="center"/>
          </w:tcPr>
          <w:p>
            <w:pPr>
              <w:pStyle w:val="12"/>
            </w:pPr>
            <w:r>
              <w:t>书籍印刷合格数量比重</w:t>
            </w:r>
          </w:p>
        </w:tc>
        <w:tc>
          <w:tcPr>
            <w:tcW w:w="2268" w:type="dxa"/>
            <w:vAlign w:val="center"/>
          </w:tcPr>
          <w:p>
            <w:pPr>
              <w:pStyle w:val="12"/>
            </w:pPr>
            <w:r>
              <w:t>≥98%</w:t>
            </w:r>
          </w:p>
        </w:tc>
        <w:tc>
          <w:tcPr>
            <w:tcW w:w="1276" w:type="dxa"/>
            <w:vAlign w:val="center"/>
          </w:tcPr>
          <w:p>
            <w:pPr>
              <w:pStyle w:val="12"/>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书籍更新及时率</w:t>
            </w:r>
          </w:p>
        </w:tc>
        <w:tc>
          <w:tcPr>
            <w:tcW w:w="5386" w:type="dxa"/>
            <w:vAlign w:val="center"/>
          </w:tcPr>
          <w:p>
            <w:pPr>
              <w:pStyle w:val="12"/>
            </w:pPr>
            <w:r>
              <w:t>《昌黎年鉴》书籍内容更新及时率</w:t>
            </w:r>
          </w:p>
        </w:tc>
        <w:tc>
          <w:tcPr>
            <w:tcW w:w="2268" w:type="dxa"/>
            <w:vAlign w:val="center"/>
          </w:tcPr>
          <w:p>
            <w:pPr>
              <w:pStyle w:val="12"/>
            </w:pPr>
            <w:r>
              <w:t>100%</w:t>
            </w:r>
          </w:p>
        </w:tc>
        <w:tc>
          <w:tcPr>
            <w:tcW w:w="1276" w:type="dxa"/>
            <w:vAlign w:val="center"/>
          </w:tcPr>
          <w:p>
            <w:pPr>
              <w:pStyle w:val="12"/>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《昌黎年鉴》单位成本</w:t>
            </w:r>
          </w:p>
        </w:tc>
        <w:tc>
          <w:tcPr>
            <w:tcW w:w="5386" w:type="dxa"/>
            <w:vAlign w:val="center"/>
          </w:tcPr>
          <w:p>
            <w:pPr>
              <w:pStyle w:val="12"/>
            </w:pPr>
            <w:r>
              <w:t>《昌黎年鉴》出版、印刷单位成本</w:t>
            </w:r>
          </w:p>
        </w:tc>
        <w:tc>
          <w:tcPr>
            <w:tcW w:w="2268" w:type="dxa"/>
            <w:vAlign w:val="center"/>
          </w:tcPr>
          <w:p>
            <w:pPr>
              <w:pStyle w:val="12"/>
            </w:pPr>
            <w:r>
              <w:t>≤16元</w:t>
            </w:r>
          </w:p>
        </w:tc>
        <w:tc>
          <w:tcPr>
            <w:tcW w:w="1276" w:type="dxa"/>
            <w:vAlign w:val="center"/>
          </w:tcPr>
          <w:p>
            <w:pPr>
              <w:pStyle w:val="12"/>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严格按照国家有关质量标准、规范要求</w:t>
            </w:r>
          </w:p>
        </w:tc>
        <w:tc>
          <w:tcPr>
            <w:tcW w:w="5386" w:type="dxa"/>
            <w:vAlign w:val="center"/>
          </w:tcPr>
          <w:p>
            <w:pPr>
              <w:pStyle w:val="12"/>
            </w:pPr>
            <w:r>
              <w:t>严格按照国家有关质量标准、规范要求</w:t>
            </w:r>
          </w:p>
        </w:tc>
        <w:tc>
          <w:tcPr>
            <w:tcW w:w="2268" w:type="dxa"/>
            <w:vAlign w:val="center"/>
          </w:tcPr>
          <w:p>
            <w:pPr>
              <w:pStyle w:val="12"/>
            </w:pPr>
            <w:r>
              <w:t>严格按照国家有关质量标准、规范要求</w:t>
            </w:r>
          </w:p>
        </w:tc>
        <w:tc>
          <w:tcPr>
            <w:tcW w:w="1276" w:type="dxa"/>
            <w:vAlign w:val="center"/>
          </w:tcPr>
          <w:p>
            <w:pPr>
              <w:pStyle w:val="12"/>
            </w:pPr>
            <w:r>
              <w:t>质量标准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公众知晓率</w:t>
            </w:r>
          </w:p>
        </w:tc>
        <w:tc>
          <w:tcPr>
            <w:tcW w:w="5386" w:type="dxa"/>
            <w:vAlign w:val="center"/>
          </w:tcPr>
          <w:p>
            <w:pPr>
              <w:pStyle w:val="12"/>
            </w:pPr>
            <w:r>
              <w:t>对昌黎县志书的宣传知晓程度</w:t>
            </w:r>
          </w:p>
        </w:tc>
        <w:tc>
          <w:tcPr>
            <w:tcW w:w="2268" w:type="dxa"/>
            <w:vAlign w:val="center"/>
          </w:tcPr>
          <w:p>
            <w:pPr>
              <w:pStyle w:val="12"/>
            </w:pPr>
            <w:r>
              <w:t>≥95%</w:t>
            </w:r>
          </w:p>
        </w:tc>
        <w:tc>
          <w:tcPr>
            <w:tcW w:w="1276" w:type="dxa"/>
            <w:vAlign w:val="center"/>
          </w:tcPr>
          <w:p>
            <w:pPr>
              <w:pStyle w:val="12"/>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节能降耗</w:t>
            </w:r>
          </w:p>
        </w:tc>
        <w:tc>
          <w:tcPr>
            <w:tcW w:w="5386" w:type="dxa"/>
            <w:vAlign w:val="center"/>
          </w:tcPr>
          <w:p>
            <w:pPr>
              <w:pStyle w:val="12"/>
            </w:pPr>
            <w:r>
              <w:t>节约资源，降低消耗，实现绿色办公</w:t>
            </w:r>
          </w:p>
        </w:tc>
        <w:tc>
          <w:tcPr>
            <w:tcW w:w="2268" w:type="dxa"/>
            <w:vAlign w:val="center"/>
          </w:tcPr>
          <w:p>
            <w:pPr>
              <w:pStyle w:val="12"/>
            </w:pPr>
            <w:r>
              <w:t>实现绿色办公</w:t>
            </w:r>
          </w:p>
        </w:tc>
        <w:tc>
          <w:tcPr>
            <w:tcW w:w="1276" w:type="dxa"/>
            <w:vAlign w:val="center"/>
          </w:tcPr>
          <w:p>
            <w:pPr>
              <w:pStyle w:val="12"/>
            </w:pPr>
            <w:r>
              <w:t>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持续发挥年鉴参政辅政作用</w:t>
            </w:r>
          </w:p>
        </w:tc>
        <w:tc>
          <w:tcPr>
            <w:tcW w:w="5386" w:type="dxa"/>
            <w:vAlign w:val="center"/>
          </w:tcPr>
          <w:p>
            <w:pPr>
              <w:pStyle w:val="12"/>
            </w:pPr>
            <w:r>
              <w:t>持续发挥年鉴参政辅政作用</w:t>
            </w:r>
          </w:p>
        </w:tc>
        <w:tc>
          <w:tcPr>
            <w:tcW w:w="2268" w:type="dxa"/>
            <w:vAlign w:val="center"/>
          </w:tcPr>
          <w:p>
            <w:pPr>
              <w:pStyle w:val="12"/>
            </w:pPr>
            <w:r>
              <w:t>1年</w:t>
            </w:r>
          </w:p>
        </w:tc>
        <w:tc>
          <w:tcPr>
            <w:tcW w:w="1276" w:type="dxa"/>
            <w:vAlign w:val="center"/>
          </w:tcPr>
          <w:p>
            <w:pPr>
              <w:pStyle w:val="12"/>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阅读人员满意度</w:t>
            </w:r>
          </w:p>
        </w:tc>
        <w:tc>
          <w:tcPr>
            <w:tcW w:w="5386" w:type="dxa"/>
            <w:vAlign w:val="center"/>
          </w:tcPr>
          <w:p>
            <w:pPr>
              <w:pStyle w:val="12"/>
            </w:pPr>
            <w:r>
              <w:t>调查中阅读志书人员满意和较满意的数量占调查人数的比率</w:t>
            </w:r>
          </w:p>
        </w:tc>
        <w:tc>
          <w:tcPr>
            <w:tcW w:w="2268" w:type="dxa"/>
            <w:vAlign w:val="center"/>
          </w:tcPr>
          <w:p>
            <w:pPr>
              <w:pStyle w:val="12"/>
            </w:pPr>
            <w:r>
              <w:t>≥95%</w:t>
            </w:r>
          </w:p>
        </w:tc>
        <w:tc>
          <w:tcPr>
            <w:tcW w:w="1276" w:type="dxa"/>
            <w:vAlign w:val="center"/>
          </w:tcPr>
          <w:p>
            <w:pPr>
              <w:pStyle w:val="12"/>
            </w:pPr>
            <w:r>
              <w:t>年度计划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434001昌黎县人民政府办公室本级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hint="eastAsia" w:ascii="仿宋_GB2312" w:hAnsi="仿宋_GB2312" w:eastAsia="仿宋_GB2312" w:cs="仿宋_GB2312"/>
          <w:b w:val="0"/>
          <w:color w:val="000000"/>
          <w:sz w:val="30"/>
          <w:szCs w:val="30"/>
        </w:rPr>
        <w:t>昌黎县人民政府办公室本级上年末固定资产金额为308.00万元（详见下表）。本年度拟购置固定资产总额为0.00万元，已按要求列入政府采购预算，详见政府采购预算表。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434001昌黎县人民政府办公室本级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308.00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6</w:t>
            </w:r>
          </w:p>
        </w:tc>
        <w:tc>
          <w:tcPr>
            <w:tcW w:w="2835" w:type="dxa"/>
            <w:vAlign w:val="center"/>
          </w:tcPr>
          <w:p>
            <w:pPr>
              <w:pStyle w:val="11"/>
            </w:pPr>
            <w:r>
              <w:t>171.00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432</w:t>
            </w:r>
          </w:p>
        </w:tc>
        <w:tc>
          <w:tcPr>
            <w:tcW w:w="2835" w:type="dxa"/>
            <w:vAlign w:val="center"/>
          </w:tcPr>
          <w:p>
            <w:pPr>
              <w:pStyle w:val="11"/>
            </w:pPr>
            <w:r>
              <w:t>137.00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outlineLvl w:val="5"/>
      </w:pPr>
      <w:r>
        <w:rPr>
          <w:rFonts w:ascii="黑体" w:hAnsi="黑体" w:eastAsia="黑体" w:cs="黑体"/>
          <w:color w:val="000000"/>
          <w:sz w:val="32"/>
        </w:rPr>
        <w:t>八、名词解释</w:t>
      </w:r>
    </w:p>
    <w:p>
      <w:pPr>
        <w:keepNext w:val="0"/>
        <w:keepLines w:val="0"/>
        <w:pageBreakBefore w:val="0"/>
        <w:widowControl/>
        <w:kinsoku/>
        <w:wordWrap/>
        <w:overflowPunct/>
        <w:topLinePunct w:val="0"/>
        <w:autoSpaceDE/>
        <w:autoSpaceDN/>
        <w:bidi w:val="0"/>
        <w:adjustRightInd/>
        <w:snapToGrid/>
        <w:spacing w:line="500" w:lineRule="exact"/>
        <w:ind w:firstLine="56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val="0"/>
          <w:color w:val="000000"/>
          <w:sz w:val="30"/>
          <w:szCs w:val="30"/>
        </w:rPr>
        <w:t>1</w:t>
      </w:r>
      <w:r>
        <w:rPr>
          <w:rFonts w:hint="eastAsia" w:ascii="仿宋_GB2312" w:hAnsi="仿宋_GB2312" w:eastAsia="仿宋_GB2312" w:cs="仿宋_GB2312"/>
          <w:b w:val="0"/>
          <w:color w:val="000000"/>
          <w:sz w:val="30"/>
          <w:szCs w:val="30"/>
          <w:lang w:val="en-US" w:eastAsia="zh-CN"/>
        </w:rPr>
        <w:t>.</w:t>
      </w:r>
      <w:r>
        <w:rPr>
          <w:rFonts w:hint="eastAsia" w:ascii="仿宋_GB2312" w:hAnsi="仿宋_GB2312" w:eastAsia="仿宋_GB2312" w:cs="仿宋_GB2312"/>
          <w:b/>
          <w:color w:val="000000"/>
          <w:sz w:val="30"/>
          <w:szCs w:val="30"/>
        </w:rPr>
        <w:t>财政拨款收入：</w:t>
      </w:r>
      <w:r>
        <w:rPr>
          <w:rFonts w:hint="eastAsia" w:ascii="仿宋_GB2312" w:hAnsi="仿宋_GB2312" w:eastAsia="仿宋_GB2312" w:cs="仿宋_GB2312"/>
          <w:b w:val="0"/>
          <w:color w:val="000000"/>
          <w:sz w:val="30"/>
          <w:szCs w:val="30"/>
        </w:rPr>
        <w:t>指本级财政当年拨付的资金，包括一般公共预算拨款、政府性基金预算拨款、国有资本经营预算拨款。</w:t>
      </w:r>
    </w:p>
    <w:p>
      <w:pPr>
        <w:keepNext w:val="0"/>
        <w:keepLines w:val="0"/>
        <w:pageBreakBefore w:val="0"/>
        <w:widowControl/>
        <w:kinsoku/>
        <w:wordWrap/>
        <w:overflowPunct/>
        <w:topLinePunct w:val="0"/>
        <w:autoSpaceDE/>
        <w:autoSpaceDN/>
        <w:bidi w:val="0"/>
        <w:adjustRightInd/>
        <w:snapToGrid/>
        <w:spacing w:line="500" w:lineRule="exact"/>
        <w:ind w:firstLine="56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val="0"/>
          <w:color w:val="000000"/>
          <w:sz w:val="30"/>
          <w:szCs w:val="30"/>
        </w:rPr>
        <w:t>2</w:t>
      </w:r>
      <w:r>
        <w:rPr>
          <w:rFonts w:hint="eastAsia" w:ascii="仿宋_GB2312" w:hAnsi="仿宋_GB2312" w:eastAsia="仿宋_GB2312" w:cs="仿宋_GB2312"/>
          <w:b w:val="0"/>
          <w:color w:val="000000"/>
          <w:sz w:val="30"/>
          <w:szCs w:val="30"/>
          <w:lang w:val="en-US" w:eastAsia="zh-CN"/>
        </w:rPr>
        <w:t>.</w:t>
      </w:r>
      <w:r>
        <w:rPr>
          <w:rFonts w:hint="eastAsia" w:ascii="仿宋_GB2312" w:hAnsi="仿宋_GB2312" w:eastAsia="仿宋_GB2312" w:cs="仿宋_GB2312"/>
          <w:b/>
          <w:color w:val="000000"/>
          <w:sz w:val="30"/>
          <w:szCs w:val="30"/>
        </w:rPr>
        <w:t>财政专户管理资金收入：</w:t>
      </w:r>
      <w:r>
        <w:rPr>
          <w:rFonts w:hint="eastAsia" w:ascii="仿宋_GB2312" w:hAnsi="仿宋_GB2312" w:eastAsia="仿宋_GB2312" w:cs="仿宋_GB2312"/>
          <w:b w:val="0"/>
          <w:color w:val="000000"/>
          <w:sz w:val="30"/>
          <w:szCs w:val="30"/>
        </w:rPr>
        <w:t>缴入财政专户、实行专项管理的教育收费收入。</w:t>
      </w:r>
    </w:p>
    <w:p>
      <w:pPr>
        <w:keepNext w:val="0"/>
        <w:keepLines w:val="0"/>
        <w:pageBreakBefore w:val="0"/>
        <w:widowControl/>
        <w:kinsoku/>
        <w:wordWrap/>
        <w:overflowPunct/>
        <w:topLinePunct w:val="0"/>
        <w:autoSpaceDE/>
        <w:autoSpaceDN/>
        <w:bidi w:val="0"/>
        <w:adjustRightInd/>
        <w:snapToGrid/>
        <w:spacing w:line="500" w:lineRule="exact"/>
        <w:ind w:firstLine="56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val="0"/>
          <w:color w:val="000000"/>
          <w:sz w:val="30"/>
          <w:szCs w:val="30"/>
        </w:rPr>
        <w:t>3</w:t>
      </w:r>
      <w:r>
        <w:rPr>
          <w:rFonts w:hint="eastAsia" w:ascii="仿宋_GB2312" w:hAnsi="仿宋_GB2312" w:eastAsia="仿宋_GB2312" w:cs="仿宋_GB2312"/>
          <w:b w:val="0"/>
          <w:color w:val="000000"/>
          <w:sz w:val="30"/>
          <w:szCs w:val="30"/>
          <w:lang w:val="en-US" w:eastAsia="zh-CN"/>
        </w:rPr>
        <w:t>.</w:t>
      </w:r>
      <w:r>
        <w:rPr>
          <w:rFonts w:hint="eastAsia" w:ascii="仿宋_GB2312" w:hAnsi="仿宋_GB2312" w:eastAsia="仿宋_GB2312" w:cs="仿宋_GB2312"/>
          <w:b/>
          <w:color w:val="000000"/>
          <w:sz w:val="30"/>
          <w:szCs w:val="30"/>
        </w:rPr>
        <w:t>单位资金收入：</w:t>
      </w:r>
      <w:r>
        <w:rPr>
          <w:rFonts w:hint="eastAsia" w:ascii="仿宋_GB2312" w:hAnsi="仿宋_GB2312" w:eastAsia="仿宋_GB2312" w:cs="仿宋_GB2312"/>
          <w:b w:val="0"/>
          <w:color w:val="000000"/>
          <w:sz w:val="30"/>
          <w:szCs w:val="30"/>
        </w:rPr>
        <w:t>指除财政拨款收入和财政专户管理资金以外的收入，包括事业收入（不含教育收费）、上级补助收入、附属单位上缴收入、事业单位经营收入及其他收入，其中，其他收入主要包括债务收入、投资收益等。</w:t>
      </w:r>
    </w:p>
    <w:p>
      <w:pPr>
        <w:keepNext w:val="0"/>
        <w:keepLines w:val="0"/>
        <w:pageBreakBefore w:val="0"/>
        <w:widowControl/>
        <w:kinsoku/>
        <w:wordWrap/>
        <w:overflowPunct/>
        <w:topLinePunct w:val="0"/>
        <w:autoSpaceDE/>
        <w:autoSpaceDN/>
        <w:bidi w:val="0"/>
        <w:adjustRightInd/>
        <w:snapToGrid/>
        <w:spacing w:line="500" w:lineRule="exact"/>
        <w:ind w:firstLine="56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val="0"/>
          <w:color w:val="000000"/>
          <w:sz w:val="30"/>
          <w:szCs w:val="30"/>
        </w:rPr>
        <w:t>4</w:t>
      </w:r>
      <w:r>
        <w:rPr>
          <w:rFonts w:hint="eastAsia" w:ascii="仿宋_GB2312" w:hAnsi="仿宋_GB2312" w:eastAsia="仿宋_GB2312" w:cs="仿宋_GB2312"/>
          <w:b w:val="0"/>
          <w:color w:val="000000"/>
          <w:sz w:val="30"/>
          <w:szCs w:val="30"/>
          <w:lang w:val="en-US" w:eastAsia="zh-CN"/>
        </w:rPr>
        <w:t>.</w:t>
      </w:r>
      <w:r>
        <w:rPr>
          <w:rFonts w:hint="eastAsia" w:ascii="仿宋_GB2312" w:hAnsi="仿宋_GB2312" w:eastAsia="仿宋_GB2312" w:cs="仿宋_GB2312"/>
          <w:b/>
          <w:color w:val="000000"/>
          <w:sz w:val="30"/>
          <w:szCs w:val="30"/>
        </w:rPr>
        <w:t>事业收入：</w:t>
      </w:r>
      <w:r>
        <w:rPr>
          <w:rFonts w:hint="eastAsia" w:ascii="仿宋_GB2312" w:hAnsi="仿宋_GB2312" w:eastAsia="仿宋_GB2312" w:cs="仿宋_GB2312"/>
          <w:b w:val="0"/>
          <w:color w:val="000000"/>
          <w:sz w:val="30"/>
          <w:szCs w:val="30"/>
        </w:rPr>
        <w:t>指事业单位开展专业业务活动及辅助活动所取得的收入。</w:t>
      </w:r>
    </w:p>
    <w:p>
      <w:pPr>
        <w:keepNext w:val="0"/>
        <w:keepLines w:val="0"/>
        <w:pageBreakBefore w:val="0"/>
        <w:widowControl/>
        <w:kinsoku/>
        <w:wordWrap/>
        <w:overflowPunct/>
        <w:topLinePunct w:val="0"/>
        <w:autoSpaceDE/>
        <w:autoSpaceDN/>
        <w:bidi w:val="0"/>
        <w:adjustRightInd/>
        <w:snapToGrid/>
        <w:spacing w:line="500" w:lineRule="exact"/>
        <w:ind w:firstLine="56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val="0"/>
          <w:color w:val="000000"/>
          <w:sz w:val="30"/>
          <w:szCs w:val="30"/>
        </w:rPr>
        <w:t>5</w:t>
      </w:r>
      <w:r>
        <w:rPr>
          <w:rFonts w:hint="eastAsia" w:ascii="仿宋_GB2312" w:hAnsi="仿宋_GB2312" w:eastAsia="仿宋_GB2312" w:cs="仿宋_GB2312"/>
          <w:b w:val="0"/>
          <w:color w:val="000000"/>
          <w:sz w:val="30"/>
          <w:szCs w:val="30"/>
          <w:lang w:val="en-US" w:eastAsia="zh-CN"/>
        </w:rPr>
        <w:t>.</w:t>
      </w:r>
      <w:r>
        <w:rPr>
          <w:rFonts w:hint="eastAsia" w:ascii="仿宋_GB2312" w:hAnsi="仿宋_GB2312" w:eastAsia="仿宋_GB2312" w:cs="仿宋_GB2312"/>
          <w:b/>
          <w:color w:val="000000"/>
          <w:sz w:val="30"/>
          <w:szCs w:val="30"/>
        </w:rPr>
        <w:t>事业单位经营收入：</w:t>
      </w:r>
      <w:r>
        <w:rPr>
          <w:rFonts w:hint="eastAsia" w:ascii="仿宋_GB2312" w:hAnsi="仿宋_GB2312" w:eastAsia="仿宋_GB2312" w:cs="仿宋_GB2312"/>
          <w:b w:val="0"/>
          <w:color w:val="000000"/>
          <w:sz w:val="30"/>
          <w:szCs w:val="30"/>
        </w:rPr>
        <w:t>指事业单位在专业业务活动及其辅助活动之外开展非独立核算经营活动取得的收入。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500" w:lineRule="exact"/>
        <w:ind w:firstLine="56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val="0"/>
          <w:color w:val="000000"/>
          <w:sz w:val="30"/>
          <w:szCs w:val="30"/>
        </w:rPr>
        <w:t>6</w:t>
      </w:r>
      <w:r>
        <w:rPr>
          <w:rFonts w:hint="eastAsia" w:ascii="仿宋_GB2312" w:hAnsi="仿宋_GB2312" w:eastAsia="仿宋_GB2312" w:cs="仿宋_GB2312"/>
          <w:b w:val="0"/>
          <w:color w:val="000000"/>
          <w:sz w:val="30"/>
          <w:szCs w:val="30"/>
          <w:lang w:val="en-US" w:eastAsia="zh-CN"/>
        </w:rPr>
        <w:t>.</w:t>
      </w:r>
      <w:r>
        <w:rPr>
          <w:rFonts w:hint="eastAsia" w:ascii="仿宋_GB2312" w:hAnsi="仿宋_GB2312" w:eastAsia="仿宋_GB2312" w:cs="仿宋_GB2312"/>
          <w:b/>
          <w:color w:val="000000"/>
          <w:sz w:val="30"/>
          <w:szCs w:val="30"/>
        </w:rPr>
        <w:t>上年结转：</w:t>
      </w:r>
      <w:r>
        <w:rPr>
          <w:rFonts w:hint="eastAsia" w:ascii="仿宋_GB2312" w:hAnsi="仿宋_GB2312" w:eastAsia="仿宋_GB2312" w:cs="仿宋_GB2312"/>
          <w:b w:val="0"/>
          <w:color w:val="000000"/>
          <w:sz w:val="30"/>
          <w:szCs w:val="30"/>
        </w:rPr>
        <w:t>指以前年度安排、结转到本年仍按原规定用途继续使用的资金。</w:t>
      </w:r>
    </w:p>
    <w:p>
      <w:pPr>
        <w:keepNext w:val="0"/>
        <w:keepLines w:val="0"/>
        <w:pageBreakBefore w:val="0"/>
        <w:widowControl/>
        <w:kinsoku/>
        <w:wordWrap/>
        <w:overflowPunct/>
        <w:topLinePunct w:val="0"/>
        <w:autoSpaceDE/>
        <w:autoSpaceDN/>
        <w:bidi w:val="0"/>
        <w:adjustRightInd/>
        <w:snapToGrid/>
        <w:spacing w:line="500" w:lineRule="exact"/>
        <w:ind w:firstLine="56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val="0"/>
          <w:color w:val="000000"/>
          <w:sz w:val="30"/>
          <w:szCs w:val="30"/>
        </w:rPr>
        <w:t>7</w:t>
      </w:r>
      <w:r>
        <w:rPr>
          <w:rFonts w:hint="eastAsia" w:ascii="仿宋_GB2312" w:hAnsi="仿宋_GB2312" w:eastAsia="仿宋_GB2312" w:cs="仿宋_GB2312"/>
          <w:b w:val="0"/>
          <w:color w:val="000000"/>
          <w:sz w:val="30"/>
          <w:szCs w:val="30"/>
          <w:lang w:val="en-US" w:eastAsia="zh-CN"/>
        </w:rPr>
        <w:t>.</w:t>
      </w:r>
      <w:r>
        <w:rPr>
          <w:rFonts w:hint="eastAsia" w:ascii="仿宋_GB2312" w:hAnsi="仿宋_GB2312" w:eastAsia="仿宋_GB2312" w:cs="仿宋_GB2312"/>
          <w:b/>
          <w:color w:val="000000"/>
          <w:sz w:val="30"/>
          <w:szCs w:val="30"/>
        </w:rPr>
        <w:t>单位预算支出：</w:t>
      </w:r>
      <w:r>
        <w:rPr>
          <w:rFonts w:hint="eastAsia" w:ascii="仿宋_GB2312" w:hAnsi="仿宋_GB2312" w:eastAsia="仿宋_GB2312" w:cs="仿宋_GB2312"/>
          <w:b w:val="0"/>
          <w:color w:val="000000"/>
          <w:sz w:val="30"/>
          <w:szCs w:val="30"/>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keepNext w:val="0"/>
        <w:keepLines w:val="0"/>
        <w:pageBreakBefore w:val="0"/>
        <w:widowControl/>
        <w:kinsoku/>
        <w:wordWrap/>
        <w:overflowPunct/>
        <w:topLinePunct w:val="0"/>
        <w:autoSpaceDE/>
        <w:autoSpaceDN/>
        <w:bidi w:val="0"/>
        <w:adjustRightInd/>
        <w:snapToGrid/>
        <w:spacing w:line="500" w:lineRule="exact"/>
        <w:ind w:firstLine="56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b w:val="0"/>
          <w:color w:val="000000"/>
          <w:sz w:val="30"/>
          <w:szCs w:val="30"/>
        </w:rPr>
        <w:t>8</w:t>
      </w:r>
      <w:r>
        <w:rPr>
          <w:rFonts w:hint="eastAsia" w:ascii="仿宋_GB2312" w:hAnsi="仿宋_GB2312" w:eastAsia="仿宋_GB2312" w:cs="仿宋_GB2312"/>
          <w:b w:val="0"/>
          <w:color w:val="000000"/>
          <w:sz w:val="30"/>
          <w:szCs w:val="30"/>
          <w:lang w:val="en-US" w:eastAsia="zh-CN"/>
        </w:rPr>
        <w:t>.</w:t>
      </w:r>
      <w:r>
        <w:rPr>
          <w:rFonts w:hint="eastAsia" w:ascii="仿宋_GB2312" w:hAnsi="仿宋_GB2312" w:eastAsia="仿宋_GB2312" w:cs="仿宋_GB2312"/>
          <w:b/>
          <w:color w:val="000000"/>
          <w:sz w:val="30"/>
          <w:szCs w:val="30"/>
        </w:rPr>
        <w:t>事业单位经营支出：</w:t>
      </w:r>
      <w:r>
        <w:rPr>
          <w:rFonts w:hint="eastAsia" w:ascii="仿宋_GB2312" w:hAnsi="仿宋_GB2312" w:eastAsia="仿宋_GB2312" w:cs="仿宋_GB2312"/>
          <w:b w:val="0"/>
          <w:color w:val="000000"/>
          <w:sz w:val="30"/>
          <w:szCs w:val="30"/>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500" w:lineRule="exact"/>
        <w:ind w:firstLine="560"/>
        <w:jc w:val="left"/>
        <w:textAlignment w:val="auto"/>
        <w:outlineLvl w:val="9"/>
        <w:rPr>
          <w:rFonts w:hint="eastAsia" w:ascii="仿宋_GB2312" w:hAnsi="仿宋_GB2312" w:eastAsia="仿宋_GB2312" w:cs="仿宋_GB2312"/>
          <w:b w:val="0"/>
          <w:color w:val="000000"/>
          <w:sz w:val="30"/>
          <w:szCs w:val="30"/>
        </w:rPr>
      </w:pPr>
      <w:r>
        <w:rPr>
          <w:rFonts w:hint="eastAsia" w:ascii="仿宋_GB2312" w:hAnsi="仿宋_GB2312" w:eastAsia="仿宋_GB2312" w:cs="仿宋_GB2312"/>
          <w:b w:val="0"/>
          <w:color w:val="000000"/>
          <w:sz w:val="30"/>
          <w:szCs w:val="30"/>
        </w:rPr>
        <w:t>9</w:t>
      </w:r>
      <w:r>
        <w:rPr>
          <w:rFonts w:hint="eastAsia" w:ascii="仿宋_GB2312" w:hAnsi="仿宋_GB2312" w:eastAsia="仿宋_GB2312" w:cs="仿宋_GB2312"/>
          <w:b w:val="0"/>
          <w:color w:val="000000"/>
          <w:sz w:val="30"/>
          <w:szCs w:val="30"/>
          <w:lang w:val="en-US" w:eastAsia="zh-CN"/>
        </w:rPr>
        <w:t>.</w:t>
      </w:r>
      <w:r>
        <w:rPr>
          <w:rFonts w:hint="eastAsia" w:ascii="仿宋_GB2312" w:hAnsi="仿宋_GB2312" w:eastAsia="仿宋_GB2312" w:cs="仿宋_GB2312"/>
          <w:b/>
          <w:color w:val="000000"/>
          <w:sz w:val="30"/>
          <w:szCs w:val="30"/>
        </w:rPr>
        <w:t>“三公”经费：</w:t>
      </w:r>
      <w:r>
        <w:rPr>
          <w:rFonts w:hint="eastAsia" w:ascii="仿宋_GB2312" w:hAnsi="仿宋_GB2312" w:eastAsia="仿宋_GB2312" w:cs="仿宋_GB2312"/>
          <w:b w:val="0"/>
          <w:color w:val="000000"/>
          <w:sz w:val="30"/>
          <w:szCs w:val="30"/>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w:t>
      </w:r>
      <w:r>
        <w:rPr>
          <w:rFonts w:hint="eastAsia" w:ascii="仿宋_GB2312" w:hAnsi="仿宋_GB2312" w:eastAsia="仿宋_GB2312" w:cs="仿宋_GB2312"/>
          <w:b w:val="0"/>
          <w:color w:val="000000"/>
          <w:sz w:val="30"/>
          <w:szCs w:val="30"/>
        </w:rPr>
        <w:t>牌照费）及按规定保留的公务用车燃料费、维修费、过路过桥费、保险费、安全奖励费用等支出；公务接待费反映单位按规定开支的各类公务接待（含外宾接待）支出。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00" w:lineRule="exact"/>
        <w:ind w:firstLine="560"/>
        <w:jc w:val="left"/>
        <w:textAlignment w:val="auto"/>
        <w:outlineLvl w:val="9"/>
        <w:rPr>
          <w:rFonts w:hint="eastAsia" w:ascii="仿宋_GB2312" w:hAnsi="仿宋_GB2312" w:eastAsia="仿宋_GB2312" w:cs="仿宋_GB2312"/>
          <w:b w:val="0"/>
          <w:color w:val="000000"/>
          <w:sz w:val="30"/>
          <w:szCs w:val="30"/>
        </w:rPr>
      </w:pPr>
      <w:r>
        <w:rPr>
          <w:rFonts w:hint="eastAsia" w:ascii="仿宋_GB2312" w:hAnsi="仿宋_GB2312" w:eastAsia="仿宋_GB2312" w:cs="仿宋_GB2312"/>
          <w:b w:val="0"/>
          <w:color w:val="000000"/>
          <w:sz w:val="30"/>
          <w:szCs w:val="30"/>
        </w:rPr>
        <w:t>10</w:t>
      </w:r>
      <w:r>
        <w:rPr>
          <w:rFonts w:hint="eastAsia" w:ascii="仿宋_GB2312" w:hAnsi="仿宋_GB2312" w:eastAsia="仿宋_GB2312" w:cs="仿宋_GB2312"/>
          <w:b w:val="0"/>
          <w:color w:val="000000"/>
          <w:sz w:val="30"/>
          <w:szCs w:val="30"/>
          <w:lang w:val="en-US" w:eastAsia="zh-CN"/>
        </w:rPr>
        <w:t>.</w:t>
      </w:r>
      <w:r>
        <w:rPr>
          <w:rFonts w:hint="eastAsia" w:ascii="仿宋_GB2312" w:hAnsi="仿宋_GB2312" w:eastAsia="仿宋_GB2312" w:cs="仿宋_GB2312"/>
          <w:b w:val="0"/>
          <w:color w:val="000000"/>
          <w:sz w:val="30"/>
          <w:szCs w:val="30"/>
        </w:rPr>
        <w:t>机关运行经费：是指各部门（单位）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outlineLvl w:val="5"/>
      </w:pPr>
      <w:r>
        <w:rPr>
          <w:rFonts w:ascii="黑体" w:hAnsi="黑体" w:eastAsia="黑体" w:cs="黑体"/>
          <w:color w:val="000000"/>
          <w:sz w:val="32"/>
        </w:rPr>
        <w:t>九、其他需要说明的事项</w:t>
      </w:r>
    </w:p>
    <w:p>
      <w:pPr>
        <w:keepNext w:val="0"/>
        <w:keepLines w:val="0"/>
        <w:pageBreakBefore w:val="0"/>
        <w:widowControl/>
        <w:kinsoku/>
        <w:wordWrap/>
        <w:overflowPunct/>
        <w:topLinePunct w:val="0"/>
        <w:autoSpaceDE/>
        <w:autoSpaceDN/>
        <w:bidi w:val="0"/>
        <w:adjustRightInd/>
        <w:snapToGrid/>
        <w:spacing w:line="500" w:lineRule="exact"/>
        <w:ind w:firstLine="560"/>
        <w:jc w:val="left"/>
        <w:textAlignment w:val="auto"/>
        <w:outlineLvl w:val="9"/>
      </w:pPr>
      <w:r>
        <w:rPr>
          <w:rFonts w:hint="eastAsia" w:ascii="仿宋_GB2312" w:hAnsi="仿宋_GB2312" w:eastAsia="仿宋_GB2312" w:cs="仿宋_GB2312"/>
          <w:b w:val="0"/>
          <w:color w:val="000000"/>
          <w:sz w:val="30"/>
          <w:szCs w:val="30"/>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方正姚体_GBK">
    <w:panose1 w:val="02000000000000000000"/>
    <w:charset w:val="86"/>
    <w:family w:val="auto"/>
    <w:pitch w:val="default"/>
    <w:sig w:usb0="A00002BF" w:usb1="38CF7CFA" w:usb2="00082016" w:usb3="00000000" w:csb0="00040001" w:csb1="00000000"/>
  </w:font>
  <w:font w:name="新宋体">
    <w:panose1 w:val="02010609030101010101"/>
    <w:charset w:val="86"/>
    <w:family w:val="auto"/>
    <w:pitch w:val="default"/>
    <w:sig w:usb0="00000003" w:usb1="288F0000" w:usb2="00000006" w:usb3="00000000" w:csb0="00040001" w:csb1="00000000"/>
  </w:font>
  <w:font w:name="国标仿宋">
    <w:panose1 w:val="02000500000000000000"/>
    <w:charset w:val="86"/>
    <w:family w:val="auto"/>
    <w:pitch w:val="default"/>
    <w:sig w:usb0="A00002BF" w:usb1="38C77CFA" w:usb2="00000016" w:usb3="00000000" w:csb0="00060007"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1432F7D"/>
    <w:rsid w:val="1AA0603E"/>
    <w:rsid w:val="2CA30E37"/>
    <w:rsid w:val="2D0B4074"/>
    <w:rsid w:val="40C93DC0"/>
    <w:rsid w:val="514E1F3B"/>
    <w:rsid w:val="58287034"/>
    <w:rsid w:val="5A376F91"/>
    <w:rsid w:val="64FB0850"/>
    <w:rsid w:val="79E41D8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TotalTime>13</TotalTime>
  <ScaleCrop>false</ScaleCrop>
  <LinksUpToDate>false</LinksUpToDate>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2026-01-30T12:19:00Z</dcterms:created>
  <dc:creator>Administrator</dc:creator>
  <cp:lastModifiedBy>Administrator</cp:lastModifiedBy>
  <cp:lastPrinted>2026-02-02T07:30:13Z</cp:lastPrinted>
  <dcterms:modified xsi:type="dcterms:W3CDTF">2026-02-02T07:32:34Z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5DF293F2071E449F94E7A4C20F30EEC7</vt:lpwstr>
  </property>
</Properties>
</file>