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r>
        <w:rPr>
          <w:rFonts w:ascii="黑体" w:eastAsia="黑体" w:cs="黑体" w:hAnsi="黑体"/>
          <w:b/>
          <w:color w:val="000000"/>
          <w:sz w:val="44"/>
        </w:rPr>
        <w:t>2026年部门预算信息公开目录</w:t>
      </w:r>
    </w:p>
    <w:p>
      <w:pPr>
        <w:spacing w:before="0" w:after="0" w:line="240" w:lineRule="auto"/>
        <w:ind w:firstLine="0"/>
        <w:jc w:val="center"/>
        <w:outlineLvl w:val="9"/>
      </w:pPr>
      <w:r>
        <w:rPr>
          <w:rFonts w:ascii="黑体" w:eastAsia="黑体" w:cs="黑体" w:hAnsi="黑体"/>
          <w:b/>
          <w:color w:val="000000"/>
          <w:sz w:val="30"/>
        </w:rPr>
        <w:t xml:space="preserve"> </w:t>
      </w:r>
    </w:p>
    <w:p>
      <w:pPr>
        <w:spacing w:before="0" w:after="0" w:line="240" w:lineRule="auto"/>
        <w:ind w:firstLine="0"/>
        <w:jc w:val="left"/>
        <w:outlineLvl w:val="9"/>
      </w:pPr>
      <w:r>
        <w:rPr>
          <w:rFonts w:ascii="方正楷体_GBK" w:eastAsia="方正楷体_GBK" w:cs="方正楷体_GBK" w:hAnsi="方正楷体_GBK"/>
          <w:b/>
          <w:color w:val="000000"/>
          <w:sz w:val="28"/>
        </w:rPr>
        <w:t>部门预算公开表</w:t>
      </w:r>
    </w:p>
    <w:p>
      <w:pPr>
        <w:pStyle w:val="35"/>
        <w:tabs>
          <w:tab w:val="right" w:leader="dot" w:pos="14562"/>
        </w:tabs>
      </w:pPr>
      <w:r>
        <w:fldChar w:fldCharType="begin"/>
      </w:r>
      <w:r>
        <w:instrText xml:space="preserve">TOC \o "2-2" \h \z \u </w:instrText>
      </w:r>
      <w:r>
        <w:fldChar w:fldCharType="separate"/>
      </w:r>
      <w:r>
        <w:fldChar w:fldCharType="begin"/>
      </w:r>
      <w:r>
        <w:instrText>HYPERLINK \l _Toc_2_2_0000000001</w:instrText>
      </w:r>
      <w:r>
        <w:fldChar w:fldCharType="separate"/>
      </w:r>
      <w:r>
        <w:t>部门预算收支总表</w:t>
        <w:tab/>
      </w:r>
      <w:r>
        <w:fldChar w:fldCharType="begin"/>
      </w:r>
      <w:r>
        <w:instrText>PAGEREF _Toc_2_2_0000000001 \h</w:instrText>
      </w:r>
      <w:r>
        <w:fldChar w:fldCharType="separate"/>
      </w:r>
      <w:r>
        <w:t>1</w:t>
      </w:r>
      <w:r>
        <w:fldChar w:fldCharType="end"/>
      </w:r>
      <w:r>
        <w:fldChar w:fldCharType="end"/>
      </w:r>
    </w:p>
    <w:p>
      <w:pPr>
        <w:pStyle w:val="35"/>
        <w:tabs>
          <w:tab w:val="right" w:leader="dot" w:pos="14562"/>
        </w:tabs>
      </w:pPr>
      <w:r>
        <w:fldChar w:fldCharType="begin"/>
      </w:r>
      <w:r>
        <w:instrText>HYPERLINK \l _Toc_2_2_0000000002</w:instrText>
      </w:r>
      <w:r>
        <w:fldChar w:fldCharType="separate"/>
      </w:r>
      <w:r>
        <w:t>部门预算收入总表</w:t>
        <w:tab/>
      </w:r>
      <w:r>
        <w:fldChar w:fldCharType="begin"/>
      </w:r>
      <w:r>
        <w:instrText>PAGEREF _Toc_2_2_0000000002 \h</w:instrText>
      </w:r>
      <w:r>
        <w:fldChar w:fldCharType="separate"/>
      </w:r>
      <w:r>
        <w:t>3</w:t>
      </w:r>
      <w:r>
        <w:fldChar w:fldCharType="end"/>
      </w:r>
      <w:r>
        <w:fldChar w:fldCharType="end"/>
      </w:r>
    </w:p>
    <w:p>
      <w:pPr>
        <w:pStyle w:val="35"/>
        <w:tabs>
          <w:tab w:val="right" w:leader="dot" w:pos="14562"/>
        </w:tabs>
      </w:pPr>
      <w:r>
        <w:fldChar w:fldCharType="begin"/>
      </w:r>
      <w:r>
        <w:instrText>HYPERLINK \l _Toc_2_2_0000000003</w:instrText>
      </w:r>
      <w:r>
        <w:fldChar w:fldCharType="separate"/>
      </w:r>
      <w:r>
        <w:t>部门预算支出总表</w:t>
        <w:tab/>
      </w:r>
      <w:r>
        <w:fldChar w:fldCharType="begin"/>
      </w:r>
      <w:r>
        <w:instrText>PAGEREF _Toc_2_2_0000000003 \h</w:instrText>
      </w:r>
      <w:r>
        <w:fldChar w:fldCharType="separate"/>
      </w:r>
      <w:r>
        <w:t>4</w:t>
      </w:r>
      <w:r>
        <w:fldChar w:fldCharType="end"/>
      </w:r>
      <w:r>
        <w:fldChar w:fldCharType="end"/>
      </w:r>
    </w:p>
    <w:p>
      <w:pPr>
        <w:pStyle w:val="35"/>
        <w:tabs>
          <w:tab w:val="right" w:leader="dot" w:pos="14562"/>
        </w:tabs>
      </w:pPr>
      <w:r>
        <w:fldChar w:fldCharType="begin"/>
      </w:r>
      <w:r>
        <w:instrText>HYPERLINK \l _Toc_2_2_0000000004</w:instrText>
      </w:r>
      <w:r>
        <w:fldChar w:fldCharType="separate"/>
      </w:r>
      <w:r>
        <w:t>部门预算财政拨款收支总表</w:t>
        <w:tab/>
      </w:r>
      <w:r>
        <w:fldChar w:fldCharType="begin"/>
      </w:r>
      <w:r>
        <w:instrText>PAGEREF _Toc_2_2_0000000004 \h</w:instrText>
      </w:r>
      <w:r>
        <w:fldChar w:fldCharType="separate"/>
      </w:r>
      <w:r>
        <w:t>5</w:t>
      </w:r>
      <w:r>
        <w:fldChar w:fldCharType="end"/>
      </w:r>
      <w:r>
        <w:fldChar w:fldCharType="end"/>
      </w:r>
    </w:p>
    <w:p>
      <w:pPr>
        <w:pStyle w:val="35"/>
        <w:tabs>
          <w:tab w:val="right" w:leader="dot" w:pos="14562"/>
        </w:tabs>
      </w:pPr>
      <w:r>
        <w:fldChar w:fldCharType="begin"/>
      </w:r>
      <w:r>
        <w:instrText>HYPERLINK \l _Toc_2_2_0000000005</w:instrText>
      </w:r>
      <w:r>
        <w:fldChar w:fldCharType="separate"/>
      </w:r>
      <w:r>
        <w:t>部门预算一般公共预算财政拨款支出表</w:t>
        <w:tab/>
      </w:r>
      <w:r>
        <w:fldChar w:fldCharType="begin"/>
      </w:r>
      <w:r>
        <w:instrText>PAGEREF _Toc_2_2_0000000005 \h</w:instrText>
      </w:r>
      <w:r>
        <w:fldChar w:fldCharType="separate"/>
      </w:r>
      <w:r>
        <w:t>8</w:t>
      </w:r>
      <w:r>
        <w:fldChar w:fldCharType="end"/>
      </w:r>
      <w:r>
        <w:fldChar w:fldCharType="end"/>
      </w:r>
    </w:p>
    <w:p>
      <w:pPr>
        <w:pStyle w:val="35"/>
        <w:tabs>
          <w:tab w:val="right" w:leader="dot" w:pos="14562"/>
        </w:tabs>
      </w:pPr>
      <w:r>
        <w:fldChar w:fldCharType="begin"/>
      </w:r>
      <w:r>
        <w:instrText>HYPERLINK \l _Toc_2_2_0000000006</w:instrText>
      </w:r>
      <w:r>
        <w:fldChar w:fldCharType="separate"/>
      </w:r>
      <w:r>
        <w:t>部门预算一般公共预算财政拨款基本支出表</w:t>
        <w:tab/>
      </w:r>
      <w:r>
        <w:fldChar w:fldCharType="begin"/>
      </w:r>
      <w:r>
        <w:instrText>PAGEREF _Toc_2_2_0000000006 \h</w:instrText>
      </w:r>
      <w:r>
        <w:fldChar w:fldCharType="separate"/>
      </w:r>
      <w:r>
        <w:t>9</w:t>
      </w:r>
      <w:r>
        <w:fldChar w:fldCharType="end"/>
      </w:r>
      <w:r>
        <w:fldChar w:fldCharType="end"/>
      </w:r>
    </w:p>
    <w:p>
      <w:pPr>
        <w:pStyle w:val="35"/>
        <w:tabs>
          <w:tab w:val="right" w:leader="dot" w:pos="14562"/>
        </w:tabs>
      </w:pPr>
      <w:r>
        <w:fldChar w:fldCharType="begin"/>
      </w:r>
      <w:r>
        <w:instrText>HYPERLINK \l _Toc_2_2_0000000007</w:instrText>
      </w:r>
      <w:r>
        <w:fldChar w:fldCharType="separate"/>
      </w:r>
      <w:r>
        <w:t>部门预算政府性基金预算财政拨款支出表</w:t>
        <w:tab/>
      </w:r>
      <w:r>
        <w:fldChar w:fldCharType="begin"/>
      </w:r>
      <w:r>
        <w:instrText>PAGEREF _Toc_2_2_0000000007 \h</w:instrText>
      </w:r>
      <w:r>
        <w:fldChar w:fldCharType="separate"/>
      </w:r>
      <w:r>
        <w:t>11</w:t>
      </w:r>
      <w:r>
        <w:fldChar w:fldCharType="end"/>
      </w:r>
      <w:r>
        <w:fldChar w:fldCharType="end"/>
      </w:r>
    </w:p>
    <w:p>
      <w:pPr>
        <w:pStyle w:val="35"/>
        <w:tabs>
          <w:tab w:val="right" w:leader="dot" w:pos="14562"/>
        </w:tabs>
      </w:pPr>
      <w:r>
        <w:fldChar w:fldCharType="begin"/>
      </w:r>
      <w:r>
        <w:instrText>HYPERLINK \l _Toc_2_2_0000000008</w:instrText>
      </w:r>
      <w:r>
        <w:fldChar w:fldCharType="separate"/>
      </w:r>
      <w:r>
        <w:t>部门预算国有资本经营预算财政拨款支出表</w:t>
        <w:tab/>
      </w:r>
      <w:r>
        <w:fldChar w:fldCharType="begin"/>
      </w:r>
      <w:r>
        <w:instrText>PAGEREF _Toc_2_2_0000000008 \h</w:instrText>
      </w:r>
      <w:r>
        <w:fldChar w:fldCharType="separate"/>
      </w:r>
      <w:r>
        <w:t>12</w:t>
      </w:r>
      <w:r>
        <w:fldChar w:fldCharType="end"/>
      </w:r>
      <w:r>
        <w:fldChar w:fldCharType="end"/>
      </w:r>
    </w:p>
    <w:p>
      <w:pPr>
        <w:pStyle w:val="35"/>
        <w:tabs>
          <w:tab w:val="right" w:leader="dot" w:pos="14562"/>
        </w:tabs>
      </w:pPr>
      <w:r>
        <w:fldChar w:fldCharType="begin"/>
      </w:r>
      <w:r>
        <w:instrText>HYPERLINK \l _Toc_2_2_0000000009</w:instrText>
      </w:r>
      <w:r>
        <w:fldChar w:fldCharType="separate"/>
      </w:r>
      <w:r>
        <w:t>部门预算财政拨款“三公”经费支出表</w:t>
        <w:tab/>
      </w:r>
      <w:r>
        <w:fldChar w:fldCharType="begin"/>
      </w:r>
      <w:r>
        <w:instrText>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cs="方正楷体_GBK" w:hAnsi="方正楷体_GBK"/>
          <w:b/>
          <w:color w:val="000000"/>
          <w:sz w:val="28"/>
        </w:rPr>
        <w:t>部门预算信息公开情况说明</w:t>
      </w:r>
    </w:p>
    <w:p>
      <w:pPr>
        <w:pStyle w:val="35"/>
        <w:tabs>
          <w:tab w:val="right" w:leader="dot" w:pos="14562"/>
        </w:tabs>
      </w:pPr>
      <w:r>
        <w:fldChar w:fldCharType="begin"/>
      </w:r>
      <w:r>
        <w:instrText xml:space="preserve">TOC \o "3-3" \h \z \u </w:instrText>
      </w:r>
      <w:r>
        <w:fldChar w:fldCharType="separate"/>
      </w:r>
      <w:r>
        <w:fldChar w:fldCharType="begin"/>
      </w:r>
      <w:r>
        <w:instrText>HYPERLINK \l _Toc_3_3_0000000010</w:instrText>
      </w:r>
      <w:r>
        <w:fldChar w:fldCharType="separate"/>
      </w:r>
      <w:r>
        <w:t>一、部门职责及机构设置情况</w:t>
        <w:tab/>
      </w:r>
      <w:r>
        <w:fldChar w:fldCharType="begin"/>
      </w:r>
      <w:r>
        <w:instrText>PAGEREF _Toc_3_3_0000000010 \h</w:instrText>
      </w:r>
      <w:r>
        <w:fldChar w:fldCharType="separate"/>
      </w:r>
      <w:r>
        <w:t>14</w:t>
      </w:r>
      <w:r>
        <w:fldChar w:fldCharType="end"/>
      </w:r>
      <w:r>
        <w:fldChar w:fldCharType="end"/>
      </w:r>
    </w:p>
    <w:p>
      <w:pPr>
        <w:pStyle w:val="35"/>
        <w:tabs>
          <w:tab w:val="right" w:leader="dot" w:pos="14562"/>
        </w:tabs>
      </w:pPr>
      <w:r>
        <w:fldChar w:fldCharType="begin"/>
      </w:r>
      <w:r>
        <w:instrText>HYPERLINK \l _Toc_3_3_0000000011</w:instrText>
      </w:r>
      <w:r>
        <w:fldChar w:fldCharType="separate"/>
      </w:r>
      <w:r>
        <w:t>二、部门预算安排的总体情况</w:t>
        <w:tab/>
      </w:r>
      <w:r>
        <w:fldChar w:fldCharType="begin"/>
      </w:r>
      <w:r>
        <w:instrText>PAGEREF _Toc_3_3_0000000011 \h</w:instrText>
      </w:r>
      <w:r>
        <w:fldChar w:fldCharType="separate"/>
      </w:r>
      <w:r>
        <w:t>16</w:t>
      </w:r>
      <w:r>
        <w:fldChar w:fldCharType="end"/>
      </w:r>
      <w:r>
        <w:fldChar w:fldCharType="end"/>
      </w:r>
    </w:p>
    <w:p>
      <w:pPr>
        <w:pStyle w:val="35"/>
        <w:tabs>
          <w:tab w:val="right" w:leader="dot" w:pos="14562"/>
        </w:tabs>
      </w:pPr>
      <w:r>
        <w:fldChar w:fldCharType="begin"/>
      </w:r>
      <w:r>
        <w:instrText>HYPERLINK \l _Toc_3_3_0000000012</w:instrText>
      </w:r>
      <w:r>
        <w:fldChar w:fldCharType="separate"/>
      </w:r>
      <w:r>
        <w:t>三、机关运行经费安排情况</w:t>
        <w:tab/>
      </w:r>
      <w:r>
        <w:fldChar w:fldCharType="begin"/>
      </w:r>
      <w:r>
        <w:instrText>PAGEREF _Toc_3_3_0000000012 \h</w:instrText>
      </w:r>
      <w:r>
        <w:fldChar w:fldCharType="separate"/>
      </w:r>
      <w:r>
        <w:t>17</w:t>
      </w:r>
      <w:r>
        <w:fldChar w:fldCharType="end"/>
      </w:r>
      <w:r>
        <w:fldChar w:fldCharType="end"/>
      </w:r>
    </w:p>
    <w:p>
      <w:pPr>
        <w:pStyle w:val="35"/>
        <w:tabs>
          <w:tab w:val="right" w:leader="dot" w:pos="14562"/>
        </w:tabs>
      </w:pPr>
      <w:r>
        <w:fldChar w:fldCharType="begin"/>
      </w:r>
      <w:r>
        <w:instrText>HYPERLINK \l _Toc_3_3_0000000013</w:instrText>
      </w:r>
      <w:r>
        <w:fldChar w:fldCharType="separate"/>
      </w:r>
      <w:r>
        <w:t>四、财政拨款“三公”经费预算情况及增减变化原因</w:t>
        <w:tab/>
      </w:r>
      <w:r>
        <w:fldChar w:fldCharType="begin"/>
      </w:r>
      <w:r>
        <w:instrText>PAGEREF _Toc_3_3_0000000013 \h</w:instrText>
      </w:r>
      <w:r>
        <w:fldChar w:fldCharType="separate"/>
      </w:r>
      <w:r>
        <w:t>17</w:t>
      </w:r>
      <w:r>
        <w:fldChar w:fldCharType="end"/>
      </w:r>
      <w:r>
        <w:fldChar w:fldCharType="end"/>
      </w:r>
    </w:p>
    <w:p>
      <w:pPr>
        <w:pStyle w:val="35"/>
        <w:tabs>
          <w:tab w:val="right" w:leader="dot" w:pos="14562"/>
        </w:tabs>
      </w:pPr>
      <w:r>
        <w:fldChar w:fldCharType="begin"/>
      </w:r>
      <w:r>
        <w:instrText>HYPERLINK \l _Toc_3_3_0000000014</w:instrText>
      </w:r>
      <w:r>
        <w:fldChar w:fldCharType="separate"/>
      </w:r>
      <w:r>
        <w:t>五、部门整体绩效目标</w:t>
        <w:tab/>
      </w:r>
      <w:r>
        <w:fldChar w:fldCharType="begin"/>
      </w:r>
      <w:r>
        <w:instrText>PAGEREF _Toc_3_3_0000000014 \h</w:instrText>
      </w:r>
      <w:r>
        <w:fldChar w:fldCharType="separate"/>
      </w:r>
      <w:r>
        <w:t>18</w:t>
      </w:r>
      <w:r>
        <w:fldChar w:fldCharType="end"/>
      </w:r>
      <w:r>
        <w:fldChar w:fldCharType="end"/>
      </w:r>
    </w:p>
    <w:p>
      <w:pPr>
        <w:pStyle w:val="35"/>
        <w:tabs>
          <w:tab w:val="right" w:leader="dot" w:pos="14562"/>
        </w:tabs>
      </w:pPr>
      <w:r>
        <w:fldChar w:fldCharType="begin"/>
      </w:r>
      <w:r>
        <w:instrText>HYPERLINK \l _Toc_3_3_0000000015</w:instrText>
      </w:r>
      <w:r>
        <w:fldChar w:fldCharType="separate"/>
      </w:r>
      <w:r>
        <w:t>六、部门主管专项资金预算安排情况及绩效目标</w:t>
        <w:tab/>
      </w:r>
      <w:r>
        <w:fldChar w:fldCharType="begin"/>
      </w:r>
      <w:r>
        <w:instrText>PAGEREF _Toc_3_3_0000000015 \h</w:instrText>
      </w:r>
      <w:r>
        <w:fldChar w:fldCharType="separate"/>
      </w:r>
      <w:r>
        <w:t>22</w:t>
      </w:r>
      <w:r>
        <w:fldChar w:fldCharType="end"/>
      </w:r>
      <w:r>
        <w:fldChar w:fldCharType="end"/>
      </w:r>
    </w:p>
    <w:p>
      <w:pPr>
        <w:pStyle w:val="35"/>
        <w:tabs>
          <w:tab w:val="right" w:leader="dot" w:pos="14562"/>
        </w:tabs>
      </w:pPr>
      <w:r>
        <w:fldChar w:fldCharType="begin"/>
      </w:r>
      <w:r>
        <w:instrText>HYPERLINK \l _Toc_3_3_0000000016</w:instrText>
      </w:r>
      <w:r>
        <w:fldChar w:fldCharType="separate"/>
      </w:r>
      <w:r>
        <w:t>七、部门项目预算安排情况及绩效目标</w:t>
        <w:tab/>
      </w:r>
      <w:r>
        <w:fldChar w:fldCharType="begin"/>
      </w:r>
      <w:r>
        <w:instrText>PAGEREF _Toc_3_3_0000000016 \h</w:instrText>
      </w:r>
      <w:r>
        <w:fldChar w:fldCharType="separate"/>
      </w:r>
      <w:r>
        <w:t>23</w:t>
      </w:r>
      <w:r>
        <w:fldChar w:fldCharType="end"/>
      </w:r>
      <w:r>
        <w:fldChar w:fldCharType="end"/>
      </w:r>
    </w:p>
    <w:p>
      <w:pPr>
        <w:pStyle w:val="35"/>
        <w:tabs>
          <w:tab w:val="right" w:leader="dot" w:pos="14562"/>
        </w:tabs>
      </w:pPr>
      <w:r>
        <w:fldChar w:fldCharType="begin"/>
      </w:r>
      <w:r>
        <w:instrText>HYPERLINK \l _Toc_3_3_0000000017</w:instrText>
      </w:r>
      <w:r>
        <w:fldChar w:fldCharType="separate"/>
      </w:r>
      <w:r>
        <w:t>八、政府采购预算情况</w:t>
        <w:tab/>
      </w:r>
      <w:r>
        <w:fldChar w:fldCharType="begin"/>
      </w:r>
      <w:r>
        <w:instrText>PAGEREF _Toc_3_3_0000000017 \h</w:instrText>
      </w:r>
      <w:r>
        <w:fldChar w:fldCharType="separate"/>
      </w:r>
      <w:r>
        <w:t>59</w:t>
      </w:r>
      <w:r>
        <w:fldChar w:fldCharType="end"/>
      </w:r>
      <w:r>
        <w:fldChar w:fldCharType="end"/>
      </w:r>
    </w:p>
    <w:p>
      <w:pPr>
        <w:pStyle w:val="35"/>
        <w:tabs>
          <w:tab w:val="right" w:leader="dot" w:pos="14562"/>
        </w:tabs>
      </w:pPr>
      <w:r>
        <w:fldChar w:fldCharType="begin"/>
      </w:r>
      <w:r>
        <w:instrText>HYPERLINK \l _Toc_3_3_0000000018</w:instrText>
      </w:r>
      <w:r>
        <w:fldChar w:fldCharType="separate"/>
      </w:r>
      <w:r>
        <w:t>九、国有资产信息</w:t>
        <w:tab/>
      </w:r>
      <w:r>
        <w:fldChar w:fldCharType="begin"/>
      </w:r>
      <w:r>
        <w:instrText>PAGEREF _Toc_3_3_0000000018 \h</w:instrText>
      </w:r>
      <w:r>
        <w:fldChar w:fldCharType="separate"/>
      </w:r>
      <w:r>
        <w:t>60</w:t>
      </w:r>
      <w:r>
        <w:fldChar w:fldCharType="end"/>
      </w:r>
      <w:r>
        <w:fldChar w:fldCharType="end"/>
      </w:r>
    </w:p>
    <w:p>
      <w:pPr>
        <w:pStyle w:val="35"/>
        <w:tabs>
          <w:tab w:val="right" w:leader="dot" w:pos="14562"/>
        </w:tabs>
      </w:pPr>
      <w:r>
        <w:fldChar w:fldCharType="begin"/>
      </w:r>
      <w:r>
        <w:instrText>HYPERLINK \l _Toc_3_3_0000000019</w:instrText>
      </w:r>
      <w:r>
        <w:fldChar w:fldCharType="separate"/>
      </w:r>
      <w:r>
        <w:t>十、名词解释</w:t>
        <w:tab/>
      </w:r>
      <w:r>
        <w:fldChar w:fldCharType="begin"/>
      </w:r>
      <w:r>
        <w:instrText>PAGEREF _Toc_3_3_0000000019 \h</w:instrText>
      </w:r>
      <w:r>
        <w:fldChar w:fldCharType="separate"/>
      </w:r>
      <w:r>
        <w:t>60</w:t>
      </w:r>
      <w:r>
        <w:fldChar w:fldCharType="end"/>
      </w:r>
      <w:r>
        <w:fldChar w:fldCharType="end"/>
      </w:r>
    </w:p>
    <w:p>
      <w:pPr>
        <w:pStyle w:val="35"/>
        <w:tabs>
          <w:tab w:val="right" w:leader="dot" w:pos="14562"/>
        </w:tabs>
      </w:pPr>
      <w:r>
        <w:fldChar w:fldCharType="begin"/>
      </w:r>
      <w:r>
        <w:instrText>HYPERLINK \l _Toc_3_3_0000000020</w:instrText>
      </w:r>
      <w:r>
        <w:fldChar w:fldCharType="separate"/>
      </w:r>
      <w:r>
        <w:t>十一、其他需要说明的事项</w:t>
        <w:tab/>
      </w:r>
      <w:r>
        <w:fldChar w:fldCharType="begin"/>
      </w:r>
      <w:r>
        <w:instrText>PAGEREF _Toc_3_3_0000000020 \h</w:instrText>
      </w:r>
      <w:r>
        <w:fldChar w:fldCharType="separate"/>
      </w:r>
      <w:r>
        <w:t>62</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eastAsia="方正小标宋_GBK" w:cs="方正小标宋_GBK" w:hAnsi="方正小标宋_GBK"/>
          <w:color w:val="000000"/>
          <w:sz w:val="36"/>
        </w:rPr>
        <w:t>部门预算收支总表</w:t>
      </w:r>
      <w:bookmarkEnd w:id="0"/>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357昌黎县旅游和文化广电局</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1725.89</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r>
              <w:t>1926.63</w:t>
            </w: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1725.89</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1926.63</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r>
              <w:t>200.74</w:t>
            </w: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1926.63</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1926.63</w:t>
            </w:r>
          </w:p>
        </w:tc>
      </w:tr>
    </w:tbl>
    <w:p>
      <w:pPr>
        <w:sectPr>
          <w:footerReference w:type="default" r:id="rId2"/>
          <w:footerReference w:type="even" r:id="rId3"/>
          <w:pgSz w:w="16840" w:h="11900" w:orient="landscape"/>
          <w:pgMar w:top="1361" w:right="1020" w:bottom="1134" w:left="1020" w:header="720" w:footer="720" w:gutter="0"/>
          <w:pgNumType w:start="1"/>
          <w:docGrid w:linePitch="326" w:charSpace="0"/>
        </w:sectPr>
      </w:pPr>
    </w:p>
    <w:p>
      <w:pPr>
        <w:spacing w:before="0" w:after="0" w:line="240" w:lineRule="auto"/>
        <w:ind w:firstLine="0"/>
        <w:jc w:val="center"/>
        <w:outlineLvl w:val="1"/>
      </w:pPr>
      <w:bookmarkStart w:id="1" w:name="_Toc_2_2_0000000002"/>
      <w:r>
        <w:rPr>
          <w:rFonts w:ascii="方正小标宋_GBK" w:eastAsia="方正小标宋_GBK" w:cs="方正小标宋_GBK" w:hAnsi="方正小标宋_GBK"/>
          <w:color w:val="000000"/>
          <w:sz w:val="36"/>
        </w:rPr>
        <w:t>部门预算收入总表</w:t>
      </w:r>
      <w:bookmarkEnd w:id="1"/>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357昌黎县旅游和文化广电局</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1926.63</w:t>
            </w:r>
          </w:p>
        </w:tc>
        <w:tc>
          <w:tcPr>
            <w:tcW w:w="1134" w:type="dxa"/>
            <w:tcBorders>
              <w:top w:val="single" w:sz="6" w:space="0" w:color="000000"/>
              <w:left w:val="single" w:sz="6" w:space="0" w:color="000000"/>
              <w:right w:val="single" w:sz="6" w:space="0" w:color="000000"/>
            </w:tcBorders>
            <w:vAlign w:val="center"/>
          </w:tcPr>
          <w:p>
            <w:pPr>
              <w:pStyle w:val="23"/>
            </w:pPr>
            <w:r>
              <w:t>1725.89</w:t>
            </w:r>
          </w:p>
        </w:tc>
        <w:tc>
          <w:tcPr>
            <w:tcW w:w="1134" w:type="dxa"/>
            <w:tcBorders>
              <w:top w:val="single" w:sz="6" w:space="0" w:color="000000"/>
              <w:left w:val="single" w:sz="6" w:space="0" w:color="000000"/>
              <w:right w:val="single" w:sz="6" w:space="0" w:color="000000"/>
            </w:tcBorders>
            <w:vAlign w:val="center"/>
          </w:tcPr>
          <w:p>
            <w:pPr>
              <w:pStyle w:val="23"/>
            </w:pPr>
            <w:r>
              <w:t>1725.89</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vAlign w:val="center"/>
          </w:tcPr>
          <w:p>
            <w:pPr>
              <w:pStyle w:val="23"/>
            </w:pPr>
            <w:r>
              <w:t>200.74</w:t>
            </w: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207</w:t>
            </w:r>
          </w:p>
        </w:tc>
        <w:tc>
          <w:tcPr>
            <w:tcW w:w="1559" w:type="dxa"/>
            <w:tcBorders>
              <w:top w:val="single" w:sz="6" w:space="0" w:color="000000"/>
              <w:left w:val="single" w:sz="6" w:space="0" w:color="000000"/>
              <w:right w:val="single" w:sz="6" w:space="0" w:color="000000"/>
            </w:tcBorders>
            <w:vAlign w:val="center"/>
          </w:tcPr>
          <w:p>
            <w:pPr>
              <w:pStyle w:val="20"/>
            </w:pPr>
            <w:r>
              <w:t>文化旅游体育与传媒支出</w:t>
            </w:r>
          </w:p>
        </w:tc>
        <w:tc>
          <w:tcPr>
            <w:tcW w:w="1134" w:type="dxa"/>
            <w:tcBorders>
              <w:top w:val="single" w:sz="6" w:space="0" w:color="000000"/>
              <w:left w:val="single" w:sz="6" w:space="0" w:color="000000"/>
              <w:right w:val="single" w:sz="6" w:space="0" w:color="000000"/>
            </w:tcBorders>
            <w:vAlign w:val="center"/>
          </w:tcPr>
          <w:p>
            <w:pPr>
              <w:pStyle w:val="19"/>
            </w:pPr>
            <w:r>
              <w:t>1926.63</w:t>
            </w:r>
          </w:p>
        </w:tc>
        <w:tc>
          <w:tcPr>
            <w:tcW w:w="1134" w:type="dxa"/>
            <w:tcBorders>
              <w:top w:val="single" w:sz="6" w:space="0" w:color="000000"/>
              <w:left w:val="single" w:sz="6" w:space="0" w:color="000000"/>
              <w:right w:val="single" w:sz="6" w:space="0" w:color="000000"/>
            </w:tcBorders>
            <w:vAlign w:val="center"/>
          </w:tcPr>
          <w:p>
            <w:pPr>
              <w:pStyle w:val="19"/>
            </w:pPr>
            <w:r>
              <w:t>1725.89</w:t>
            </w:r>
          </w:p>
        </w:tc>
        <w:tc>
          <w:tcPr>
            <w:tcW w:w="1134" w:type="dxa"/>
            <w:tcBorders>
              <w:top w:val="single" w:sz="6" w:space="0" w:color="000000"/>
              <w:left w:val="single" w:sz="6" w:space="0" w:color="000000"/>
              <w:right w:val="single" w:sz="6" w:space="0" w:color="000000"/>
            </w:tcBorders>
            <w:vAlign w:val="center"/>
          </w:tcPr>
          <w:p>
            <w:pPr>
              <w:pStyle w:val="19"/>
            </w:pPr>
            <w:r>
              <w:t>1725.89</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200.74</w:t>
            </w: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20701</w:t>
            </w:r>
          </w:p>
        </w:tc>
        <w:tc>
          <w:tcPr>
            <w:tcW w:w="1559" w:type="dxa"/>
            <w:tcBorders>
              <w:top w:val="single" w:sz="6" w:space="0" w:color="000000"/>
              <w:left w:val="single" w:sz="6" w:space="0" w:color="000000"/>
              <w:right w:val="single" w:sz="6" w:space="0" w:color="000000"/>
            </w:tcBorders>
            <w:vAlign w:val="center"/>
          </w:tcPr>
          <w:p>
            <w:pPr>
              <w:pStyle w:val="20"/>
            </w:pPr>
            <w:r>
              <w:t>文化和旅游</w:t>
            </w:r>
          </w:p>
        </w:tc>
        <w:tc>
          <w:tcPr>
            <w:tcW w:w="1134" w:type="dxa"/>
            <w:tcBorders>
              <w:top w:val="single" w:sz="6" w:space="0" w:color="000000"/>
              <w:left w:val="single" w:sz="6" w:space="0" w:color="000000"/>
              <w:right w:val="single" w:sz="6" w:space="0" w:color="000000"/>
            </w:tcBorders>
            <w:vAlign w:val="center"/>
          </w:tcPr>
          <w:p>
            <w:pPr>
              <w:pStyle w:val="19"/>
            </w:pPr>
            <w:r>
              <w:t>1313.65</w:t>
            </w:r>
          </w:p>
        </w:tc>
        <w:tc>
          <w:tcPr>
            <w:tcW w:w="1134" w:type="dxa"/>
            <w:tcBorders>
              <w:top w:val="single" w:sz="6" w:space="0" w:color="000000"/>
              <w:left w:val="single" w:sz="6" w:space="0" w:color="000000"/>
              <w:right w:val="single" w:sz="6" w:space="0" w:color="000000"/>
            </w:tcBorders>
            <w:vAlign w:val="center"/>
          </w:tcPr>
          <w:p>
            <w:pPr>
              <w:pStyle w:val="19"/>
            </w:pPr>
            <w:r>
              <w:t>1313.65</w:t>
            </w:r>
          </w:p>
        </w:tc>
        <w:tc>
          <w:tcPr>
            <w:tcW w:w="1134" w:type="dxa"/>
            <w:tcBorders>
              <w:top w:val="single" w:sz="6" w:space="0" w:color="000000"/>
              <w:left w:val="single" w:sz="6" w:space="0" w:color="000000"/>
              <w:right w:val="single" w:sz="6" w:space="0" w:color="000000"/>
            </w:tcBorders>
            <w:vAlign w:val="center"/>
          </w:tcPr>
          <w:p>
            <w:pPr>
              <w:pStyle w:val="19"/>
            </w:pPr>
            <w:r>
              <w:t>1313.65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2070101</w:t>
            </w:r>
          </w:p>
        </w:tc>
        <w:tc>
          <w:tcPr>
            <w:tcW w:w="1559" w:type="dxa"/>
            <w:tcBorders>
              <w:top w:val="single" w:sz="6" w:space="0" w:color="000000"/>
              <w:left w:val="single" w:sz="6" w:space="0" w:color="000000"/>
              <w:right w:val="single" w:sz="6" w:space="0" w:color="000000"/>
            </w:tcBorders>
            <w:vAlign w:val="center"/>
          </w:tcPr>
          <w:p>
            <w:pPr>
              <w:pStyle w:val="20"/>
            </w:pPr>
            <w:r>
              <w:t>行政运行</w:t>
            </w:r>
          </w:p>
        </w:tc>
        <w:tc>
          <w:tcPr>
            <w:tcW w:w="1134" w:type="dxa"/>
            <w:tcBorders>
              <w:top w:val="single" w:sz="6" w:space="0" w:color="000000"/>
              <w:left w:val="single" w:sz="6" w:space="0" w:color="000000"/>
              <w:right w:val="single" w:sz="6" w:space="0" w:color="000000"/>
            </w:tcBorders>
            <w:vAlign w:val="center"/>
          </w:tcPr>
          <w:p>
            <w:pPr>
              <w:pStyle w:val="19"/>
            </w:pPr>
            <w:r>
              <w:t>267.33</w:t>
            </w:r>
          </w:p>
        </w:tc>
        <w:tc>
          <w:tcPr>
            <w:tcW w:w="1134" w:type="dxa"/>
            <w:tcBorders>
              <w:top w:val="single" w:sz="6" w:space="0" w:color="000000"/>
              <w:left w:val="single" w:sz="6" w:space="0" w:color="000000"/>
              <w:right w:val="single" w:sz="6" w:space="0" w:color="000000"/>
            </w:tcBorders>
            <w:vAlign w:val="center"/>
          </w:tcPr>
          <w:p>
            <w:pPr>
              <w:pStyle w:val="19"/>
            </w:pPr>
            <w:r>
              <w:t>267.33</w:t>
            </w:r>
          </w:p>
        </w:tc>
        <w:tc>
          <w:tcPr>
            <w:tcW w:w="1134" w:type="dxa"/>
            <w:tcBorders>
              <w:top w:val="single" w:sz="6" w:space="0" w:color="000000"/>
              <w:left w:val="single" w:sz="6" w:space="0" w:color="000000"/>
              <w:right w:val="single" w:sz="6" w:space="0" w:color="000000"/>
            </w:tcBorders>
            <w:vAlign w:val="center"/>
          </w:tcPr>
          <w:p>
            <w:pPr>
              <w:pStyle w:val="19"/>
            </w:pPr>
            <w:r>
              <w:t>267.33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2070104</w:t>
            </w:r>
          </w:p>
        </w:tc>
        <w:tc>
          <w:tcPr>
            <w:tcW w:w="1559" w:type="dxa"/>
            <w:tcBorders>
              <w:top w:val="single" w:sz="6" w:space="0" w:color="000000"/>
              <w:left w:val="single" w:sz="6" w:space="0" w:color="000000"/>
              <w:right w:val="single" w:sz="6" w:space="0" w:color="000000"/>
            </w:tcBorders>
            <w:vAlign w:val="center"/>
          </w:tcPr>
          <w:p>
            <w:pPr>
              <w:pStyle w:val="20"/>
            </w:pPr>
            <w:r>
              <w:t>图书馆</w:t>
            </w:r>
          </w:p>
        </w:tc>
        <w:tc>
          <w:tcPr>
            <w:tcW w:w="1134" w:type="dxa"/>
            <w:tcBorders>
              <w:top w:val="single" w:sz="6" w:space="0" w:color="000000"/>
              <w:left w:val="single" w:sz="6" w:space="0" w:color="000000"/>
              <w:right w:val="single" w:sz="6" w:space="0" w:color="000000"/>
            </w:tcBorders>
            <w:vAlign w:val="center"/>
          </w:tcPr>
          <w:p>
            <w:pPr>
              <w:pStyle w:val="19"/>
            </w:pPr>
            <w:r>
              <w:t>151.82</w:t>
            </w:r>
          </w:p>
        </w:tc>
        <w:tc>
          <w:tcPr>
            <w:tcW w:w="1134" w:type="dxa"/>
            <w:tcBorders>
              <w:top w:val="single" w:sz="6" w:space="0" w:color="000000"/>
              <w:left w:val="single" w:sz="6" w:space="0" w:color="000000"/>
              <w:right w:val="single" w:sz="6" w:space="0" w:color="000000"/>
            </w:tcBorders>
            <w:vAlign w:val="center"/>
          </w:tcPr>
          <w:p>
            <w:pPr>
              <w:pStyle w:val="19"/>
            </w:pPr>
            <w:r>
              <w:t>151.82</w:t>
            </w:r>
          </w:p>
        </w:tc>
        <w:tc>
          <w:tcPr>
            <w:tcW w:w="1134" w:type="dxa"/>
            <w:tcBorders>
              <w:top w:val="single" w:sz="6" w:space="0" w:color="000000"/>
              <w:left w:val="single" w:sz="6" w:space="0" w:color="000000"/>
              <w:right w:val="single" w:sz="6" w:space="0" w:color="000000"/>
            </w:tcBorders>
            <w:vAlign w:val="center"/>
          </w:tcPr>
          <w:p>
            <w:pPr>
              <w:pStyle w:val="19"/>
            </w:pPr>
            <w:r>
              <w:t>151.82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2070107</w:t>
            </w:r>
          </w:p>
        </w:tc>
        <w:tc>
          <w:tcPr>
            <w:tcW w:w="1559" w:type="dxa"/>
            <w:tcBorders>
              <w:top w:val="single" w:sz="6" w:space="0" w:color="000000"/>
              <w:left w:val="single" w:sz="6" w:space="0" w:color="000000"/>
              <w:right w:val="single" w:sz="6" w:space="0" w:color="000000"/>
            </w:tcBorders>
            <w:vAlign w:val="center"/>
          </w:tcPr>
          <w:p>
            <w:pPr>
              <w:pStyle w:val="20"/>
            </w:pPr>
            <w:r>
              <w:t>艺术表演团体</w:t>
            </w:r>
          </w:p>
        </w:tc>
        <w:tc>
          <w:tcPr>
            <w:tcW w:w="1134" w:type="dxa"/>
            <w:tcBorders>
              <w:top w:val="single" w:sz="6" w:space="0" w:color="000000"/>
              <w:left w:val="single" w:sz="6" w:space="0" w:color="000000"/>
              <w:right w:val="single" w:sz="6" w:space="0" w:color="000000"/>
            </w:tcBorders>
            <w:vAlign w:val="center"/>
          </w:tcPr>
          <w:p>
            <w:pPr>
              <w:pStyle w:val="19"/>
            </w:pPr>
            <w:r>
              <w:t>64.18</w:t>
            </w:r>
          </w:p>
        </w:tc>
        <w:tc>
          <w:tcPr>
            <w:tcW w:w="1134" w:type="dxa"/>
            <w:tcBorders>
              <w:top w:val="single" w:sz="6" w:space="0" w:color="000000"/>
              <w:left w:val="single" w:sz="6" w:space="0" w:color="000000"/>
              <w:right w:val="single" w:sz="6" w:space="0" w:color="000000"/>
            </w:tcBorders>
            <w:vAlign w:val="center"/>
          </w:tcPr>
          <w:p>
            <w:pPr>
              <w:pStyle w:val="19"/>
            </w:pPr>
            <w:r>
              <w:t>64.18</w:t>
            </w:r>
          </w:p>
        </w:tc>
        <w:tc>
          <w:tcPr>
            <w:tcW w:w="1134" w:type="dxa"/>
            <w:tcBorders>
              <w:top w:val="single" w:sz="6" w:space="0" w:color="000000"/>
              <w:left w:val="single" w:sz="6" w:space="0" w:color="000000"/>
              <w:right w:val="single" w:sz="6" w:space="0" w:color="000000"/>
            </w:tcBorders>
            <w:vAlign w:val="center"/>
          </w:tcPr>
          <w:p>
            <w:pPr>
              <w:pStyle w:val="19"/>
            </w:pPr>
            <w:r>
              <w:t>64.18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2070109</w:t>
            </w:r>
          </w:p>
        </w:tc>
        <w:tc>
          <w:tcPr>
            <w:tcW w:w="1559" w:type="dxa"/>
            <w:tcBorders>
              <w:top w:val="single" w:sz="6" w:space="0" w:color="000000"/>
              <w:left w:val="single" w:sz="6" w:space="0" w:color="000000"/>
              <w:right w:val="single" w:sz="6" w:space="0" w:color="000000"/>
            </w:tcBorders>
            <w:vAlign w:val="center"/>
          </w:tcPr>
          <w:p>
            <w:pPr>
              <w:pStyle w:val="20"/>
            </w:pPr>
            <w:r>
              <w:t>群众文化</w:t>
            </w:r>
          </w:p>
        </w:tc>
        <w:tc>
          <w:tcPr>
            <w:tcW w:w="1134" w:type="dxa"/>
            <w:tcBorders>
              <w:top w:val="single" w:sz="6" w:space="0" w:color="000000"/>
              <w:left w:val="single" w:sz="6" w:space="0" w:color="000000"/>
              <w:right w:val="single" w:sz="6" w:space="0" w:color="000000"/>
            </w:tcBorders>
            <w:vAlign w:val="center"/>
          </w:tcPr>
          <w:p>
            <w:pPr>
              <w:pStyle w:val="19"/>
            </w:pPr>
            <w:r>
              <w:t>147.24</w:t>
            </w:r>
          </w:p>
        </w:tc>
        <w:tc>
          <w:tcPr>
            <w:tcW w:w="1134" w:type="dxa"/>
            <w:tcBorders>
              <w:top w:val="single" w:sz="6" w:space="0" w:color="000000"/>
              <w:left w:val="single" w:sz="6" w:space="0" w:color="000000"/>
              <w:right w:val="single" w:sz="6" w:space="0" w:color="000000"/>
            </w:tcBorders>
            <w:vAlign w:val="center"/>
          </w:tcPr>
          <w:p>
            <w:pPr>
              <w:pStyle w:val="19"/>
            </w:pPr>
            <w:r>
              <w:t>147.24</w:t>
            </w:r>
          </w:p>
        </w:tc>
        <w:tc>
          <w:tcPr>
            <w:tcW w:w="1134" w:type="dxa"/>
            <w:tcBorders>
              <w:top w:val="single" w:sz="6" w:space="0" w:color="000000"/>
              <w:left w:val="single" w:sz="6" w:space="0" w:color="000000"/>
              <w:right w:val="single" w:sz="6" w:space="0" w:color="000000"/>
            </w:tcBorders>
            <w:vAlign w:val="center"/>
          </w:tcPr>
          <w:p>
            <w:pPr>
              <w:pStyle w:val="19"/>
            </w:pPr>
            <w:r>
              <w:t>147.24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2070199</w:t>
            </w:r>
          </w:p>
        </w:tc>
        <w:tc>
          <w:tcPr>
            <w:tcW w:w="1559" w:type="dxa"/>
            <w:tcBorders>
              <w:top w:val="single" w:sz="6" w:space="0" w:color="000000"/>
              <w:left w:val="single" w:sz="6" w:space="0" w:color="000000"/>
              <w:right w:val="single" w:sz="6" w:space="0" w:color="000000"/>
            </w:tcBorders>
            <w:vAlign w:val="center"/>
          </w:tcPr>
          <w:p>
            <w:pPr>
              <w:pStyle w:val="20"/>
            </w:pPr>
            <w:r>
              <w:t>其他文化和旅游支出</w:t>
            </w:r>
          </w:p>
        </w:tc>
        <w:tc>
          <w:tcPr>
            <w:tcW w:w="1134" w:type="dxa"/>
            <w:tcBorders>
              <w:top w:val="single" w:sz="6" w:space="0" w:color="000000"/>
              <w:left w:val="single" w:sz="6" w:space="0" w:color="000000"/>
              <w:right w:val="single" w:sz="6" w:space="0" w:color="000000"/>
            </w:tcBorders>
            <w:vAlign w:val="center"/>
          </w:tcPr>
          <w:p>
            <w:pPr>
              <w:pStyle w:val="19"/>
            </w:pPr>
            <w:r>
              <w:t>683.08</w:t>
            </w:r>
          </w:p>
        </w:tc>
        <w:tc>
          <w:tcPr>
            <w:tcW w:w="1134" w:type="dxa"/>
            <w:tcBorders>
              <w:top w:val="single" w:sz="6" w:space="0" w:color="000000"/>
              <w:left w:val="single" w:sz="6" w:space="0" w:color="000000"/>
              <w:right w:val="single" w:sz="6" w:space="0" w:color="000000"/>
            </w:tcBorders>
            <w:vAlign w:val="center"/>
          </w:tcPr>
          <w:p>
            <w:pPr>
              <w:pStyle w:val="19"/>
            </w:pPr>
            <w:r>
              <w:t>683.08</w:t>
            </w:r>
          </w:p>
        </w:tc>
        <w:tc>
          <w:tcPr>
            <w:tcW w:w="1134" w:type="dxa"/>
            <w:tcBorders>
              <w:top w:val="single" w:sz="6" w:space="0" w:color="000000"/>
              <w:left w:val="single" w:sz="6" w:space="0" w:color="000000"/>
              <w:right w:val="single" w:sz="6" w:space="0" w:color="000000"/>
            </w:tcBorders>
            <w:vAlign w:val="center"/>
          </w:tcPr>
          <w:p>
            <w:pPr>
              <w:pStyle w:val="19"/>
            </w:pPr>
            <w:r>
              <w:t>683.08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20702</w:t>
            </w:r>
          </w:p>
        </w:tc>
        <w:tc>
          <w:tcPr>
            <w:tcW w:w="1559" w:type="dxa"/>
            <w:tcBorders>
              <w:top w:val="single" w:sz="6" w:space="0" w:color="000000"/>
              <w:left w:val="single" w:sz="6" w:space="0" w:color="000000"/>
              <w:right w:val="single" w:sz="6" w:space="0" w:color="000000"/>
            </w:tcBorders>
            <w:vAlign w:val="center"/>
          </w:tcPr>
          <w:p>
            <w:pPr>
              <w:pStyle w:val="20"/>
            </w:pPr>
            <w:r>
              <w:t>文物</w:t>
            </w:r>
          </w:p>
        </w:tc>
        <w:tc>
          <w:tcPr>
            <w:tcW w:w="1134" w:type="dxa"/>
            <w:tcBorders>
              <w:top w:val="single" w:sz="6" w:space="0" w:color="000000"/>
              <w:left w:val="single" w:sz="6" w:space="0" w:color="000000"/>
              <w:right w:val="single" w:sz="6" w:space="0" w:color="000000"/>
            </w:tcBorders>
            <w:vAlign w:val="center"/>
          </w:tcPr>
          <w:p>
            <w:pPr>
              <w:pStyle w:val="19"/>
            </w:pPr>
            <w:r>
              <w:t>102.00</w:t>
            </w:r>
          </w:p>
        </w:tc>
        <w:tc>
          <w:tcPr>
            <w:tcW w:w="1134" w:type="dxa"/>
            <w:tcBorders>
              <w:top w:val="single" w:sz="6" w:space="0" w:color="000000"/>
              <w:left w:val="single" w:sz="6" w:space="0" w:color="000000"/>
              <w:right w:val="single" w:sz="6" w:space="0" w:color="000000"/>
            </w:tcBorders>
            <w:vAlign w:val="center"/>
          </w:tcPr>
          <w:p>
            <w:pPr>
              <w:pStyle w:val="19"/>
            </w:pPr>
            <w:r>
              <w:t>102.00</w:t>
            </w:r>
          </w:p>
        </w:tc>
        <w:tc>
          <w:tcPr>
            <w:tcW w:w="1134" w:type="dxa"/>
            <w:tcBorders>
              <w:top w:val="single" w:sz="6" w:space="0" w:color="000000"/>
              <w:left w:val="single" w:sz="6" w:space="0" w:color="000000"/>
              <w:right w:val="single" w:sz="6" w:space="0" w:color="000000"/>
            </w:tcBorders>
            <w:vAlign w:val="center"/>
          </w:tcPr>
          <w:p>
            <w:pPr>
              <w:pStyle w:val="19"/>
            </w:pPr>
            <w:r>
              <w:t>102.00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2070204</w:t>
            </w:r>
          </w:p>
        </w:tc>
        <w:tc>
          <w:tcPr>
            <w:tcW w:w="1559" w:type="dxa"/>
            <w:tcBorders>
              <w:top w:val="single" w:sz="6" w:space="0" w:color="000000"/>
              <w:left w:val="single" w:sz="6" w:space="0" w:color="000000"/>
              <w:right w:val="single" w:sz="6" w:space="0" w:color="000000"/>
            </w:tcBorders>
            <w:vAlign w:val="center"/>
          </w:tcPr>
          <w:p>
            <w:pPr>
              <w:pStyle w:val="20"/>
            </w:pPr>
            <w:r>
              <w:t>文物保护</w:t>
            </w:r>
          </w:p>
        </w:tc>
        <w:tc>
          <w:tcPr>
            <w:tcW w:w="1134" w:type="dxa"/>
            <w:tcBorders>
              <w:top w:val="single" w:sz="6" w:space="0" w:color="000000"/>
              <w:left w:val="single" w:sz="6" w:space="0" w:color="000000"/>
              <w:right w:val="single" w:sz="6" w:space="0" w:color="000000"/>
            </w:tcBorders>
            <w:vAlign w:val="center"/>
          </w:tcPr>
          <w:p>
            <w:pPr>
              <w:pStyle w:val="19"/>
            </w:pPr>
            <w:r>
              <w:t>92.00</w:t>
            </w:r>
          </w:p>
        </w:tc>
        <w:tc>
          <w:tcPr>
            <w:tcW w:w="1134" w:type="dxa"/>
            <w:tcBorders>
              <w:top w:val="single" w:sz="6" w:space="0" w:color="000000"/>
              <w:left w:val="single" w:sz="6" w:space="0" w:color="000000"/>
              <w:right w:val="single" w:sz="6" w:space="0" w:color="000000"/>
            </w:tcBorders>
            <w:vAlign w:val="center"/>
          </w:tcPr>
          <w:p>
            <w:pPr>
              <w:pStyle w:val="19"/>
            </w:pPr>
            <w:r>
              <w:t>92.00</w:t>
            </w:r>
          </w:p>
        </w:tc>
        <w:tc>
          <w:tcPr>
            <w:tcW w:w="1134" w:type="dxa"/>
            <w:tcBorders>
              <w:top w:val="single" w:sz="6" w:space="0" w:color="000000"/>
              <w:left w:val="single" w:sz="6" w:space="0" w:color="000000"/>
              <w:right w:val="single" w:sz="6" w:space="0" w:color="000000"/>
            </w:tcBorders>
            <w:vAlign w:val="center"/>
          </w:tcPr>
          <w:p>
            <w:pPr>
              <w:pStyle w:val="19"/>
            </w:pPr>
            <w:r>
              <w:t>92.00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2070205</w:t>
            </w:r>
          </w:p>
        </w:tc>
        <w:tc>
          <w:tcPr>
            <w:tcW w:w="1559" w:type="dxa"/>
            <w:tcBorders>
              <w:top w:val="single" w:sz="6" w:space="0" w:color="000000"/>
              <w:left w:val="single" w:sz="6" w:space="0" w:color="000000"/>
              <w:right w:val="single" w:sz="6" w:space="0" w:color="000000"/>
            </w:tcBorders>
            <w:vAlign w:val="center"/>
          </w:tcPr>
          <w:p>
            <w:pPr>
              <w:pStyle w:val="20"/>
            </w:pPr>
            <w:r>
              <w:t>博物馆</w:t>
            </w:r>
          </w:p>
        </w:tc>
        <w:tc>
          <w:tcPr>
            <w:tcW w:w="1134" w:type="dxa"/>
            <w:tcBorders>
              <w:top w:val="single" w:sz="6" w:space="0" w:color="000000"/>
              <w:left w:val="single" w:sz="6" w:space="0" w:color="000000"/>
              <w:right w:val="single" w:sz="6" w:space="0" w:color="000000"/>
            </w:tcBorders>
            <w:vAlign w:val="center"/>
          </w:tcPr>
          <w:p>
            <w:pPr>
              <w:pStyle w:val="19"/>
            </w:pPr>
            <w:r>
              <w:t>10.00</w:t>
            </w:r>
          </w:p>
        </w:tc>
        <w:tc>
          <w:tcPr>
            <w:tcW w:w="1134" w:type="dxa"/>
            <w:tcBorders>
              <w:top w:val="single" w:sz="6" w:space="0" w:color="000000"/>
              <w:left w:val="single" w:sz="6" w:space="0" w:color="000000"/>
              <w:right w:val="single" w:sz="6" w:space="0" w:color="000000"/>
            </w:tcBorders>
            <w:vAlign w:val="center"/>
          </w:tcPr>
          <w:p>
            <w:pPr>
              <w:pStyle w:val="19"/>
            </w:pPr>
            <w:r>
              <w:t>10.00</w:t>
            </w:r>
          </w:p>
        </w:tc>
        <w:tc>
          <w:tcPr>
            <w:tcW w:w="1134" w:type="dxa"/>
            <w:tcBorders>
              <w:top w:val="single" w:sz="6" w:space="0" w:color="000000"/>
              <w:left w:val="single" w:sz="6" w:space="0" w:color="000000"/>
              <w:right w:val="single" w:sz="6" w:space="0" w:color="000000"/>
            </w:tcBorders>
            <w:vAlign w:val="center"/>
          </w:tcPr>
          <w:p>
            <w:pPr>
              <w:pStyle w:val="19"/>
            </w:pPr>
            <w:r>
              <w:t>10.00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20799</w:t>
            </w:r>
          </w:p>
        </w:tc>
        <w:tc>
          <w:tcPr>
            <w:tcW w:w="1559" w:type="dxa"/>
            <w:tcBorders>
              <w:top w:val="single" w:sz="6" w:space="0" w:color="000000"/>
              <w:left w:val="single" w:sz="6" w:space="0" w:color="000000"/>
              <w:right w:val="single" w:sz="6" w:space="0" w:color="000000"/>
            </w:tcBorders>
            <w:vAlign w:val="center"/>
          </w:tcPr>
          <w:p>
            <w:pPr>
              <w:pStyle w:val="20"/>
            </w:pPr>
            <w:r>
              <w:t>其他文化旅游体育与传媒支出</w:t>
            </w:r>
          </w:p>
        </w:tc>
        <w:tc>
          <w:tcPr>
            <w:tcW w:w="1134" w:type="dxa"/>
            <w:tcBorders>
              <w:top w:val="single" w:sz="6" w:space="0" w:color="000000"/>
              <w:left w:val="single" w:sz="6" w:space="0" w:color="000000"/>
              <w:right w:val="single" w:sz="6" w:space="0" w:color="000000"/>
            </w:tcBorders>
            <w:vAlign w:val="center"/>
          </w:tcPr>
          <w:p>
            <w:pPr>
              <w:pStyle w:val="19"/>
            </w:pPr>
            <w:r>
              <w:t>510.98</w:t>
            </w:r>
          </w:p>
        </w:tc>
        <w:tc>
          <w:tcPr>
            <w:tcW w:w="1134" w:type="dxa"/>
            <w:tcBorders>
              <w:top w:val="single" w:sz="6" w:space="0" w:color="000000"/>
              <w:left w:val="single" w:sz="6" w:space="0" w:color="000000"/>
              <w:right w:val="single" w:sz="6" w:space="0" w:color="000000"/>
            </w:tcBorders>
            <w:vAlign w:val="center"/>
          </w:tcPr>
          <w:p>
            <w:pPr>
              <w:pStyle w:val="19"/>
            </w:pPr>
            <w:r>
              <w:t>310.24</w:t>
            </w:r>
          </w:p>
        </w:tc>
        <w:tc>
          <w:tcPr>
            <w:tcW w:w="1134" w:type="dxa"/>
            <w:tcBorders>
              <w:top w:val="single" w:sz="6" w:space="0" w:color="000000"/>
              <w:left w:val="single" w:sz="6" w:space="0" w:color="000000"/>
              <w:right w:val="single" w:sz="6" w:space="0" w:color="000000"/>
            </w:tcBorders>
            <w:vAlign w:val="center"/>
          </w:tcPr>
          <w:p>
            <w:pPr>
              <w:pStyle w:val="19"/>
            </w:pPr>
            <w:r>
              <w:t>310.24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200.74</w:t>
            </w: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2079999</w:t>
            </w:r>
          </w:p>
        </w:tc>
        <w:tc>
          <w:tcPr>
            <w:tcW w:w="1559" w:type="dxa"/>
            <w:tcBorders>
              <w:top w:val="single" w:sz="6" w:space="0" w:color="000000"/>
              <w:left w:val="single" w:sz="6" w:space="0" w:color="000000"/>
              <w:right w:val="single" w:sz="6" w:space="0" w:color="000000"/>
            </w:tcBorders>
            <w:vAlign w:val="center"/>
          </w:tcPr>
          <w:p>
            <w:pPr>
              <w:pStyle w:val="20"/>
            </w:pPr>
            <w:r>
              <w:t>其他文化旅游体育与传媒支出</w:t>
            </w:r>
          </w:p>
        </w:tc>
        <w:tc>
          <w:tcPr>
            <w:tcW w:w="1134" w:type="dxa"/>
            <w:tcBorders>
              <w:top w:val="single" w:sz="6" w:space="0" w:color="000000"/>
              <w:left w:val="single" w:sz="6" w:space="0" w:color="000000"/>
              <w:right w:val="single" w:sz="6" w:space="0" w:color="000000"/>
            </w:tcBorders>
            <w:vAlign w:val="center"/>
          </w:tcPr>
          <w:p>
            <w:pPr>
              <w:pStyle w:val="19"/>
            </w:pPr>
            <w:r>
              <w:t>510.98</w:t>
            </w:r>
          </w:p>
        </w:tc>
        <w:tc>
          <w:tcPr>
            <w:tcW w:w="1134" w:type="dxa"/>
            <w:tcBorders>
              <w:top w:val="single" w:sz="6" w:space="0" w:color="000000"/>
              <w:left w:val="single" w:sz="6" w:space="0" w:color="000000"/>
              <w:right w:val="single" w:sz="6" w:space="0" w:color="000000"/>
            </w:tcBorders>
            <w:vAlign w:val="center"/>
          </w:tcPr>
          <w:p>
            <w:pPr>
              <w:pStyle w:val="19"/>
            </w:pPr>
            <w:r>
              <w:t>310.24</w:t>
            </w:r>
          </w:p>
        </w:tc>
        <w:tc>
          <w:tcPr>
            <w:tcW w:w="1134" w:type="dxa"/>
            <w:tcBorders>
              <w:top w:val="single" w:sz="6" w:space="0" w:color="000000"/>
              <w:left w:val="single" w:sz="6" w:space="0" w:color="000000"/>
              <w:right w:val="single" w:sz="6" w:space="0" w:color="000000"/>
            </w:tcBorders>
            <w:vAlign w:val="center"/>
          </w:tcPr>
          <w:p>
            <w:pPr>
              <w:pStyle w:val="19"/>
            </w:pPr>
            <w:r>
              <w:t>310.24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200.74</w:t>
            </w: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eastAsia="方正小标宋_GBK" w:cs="方正小标宋_GBK" w:hAnsi="方正小标宋_GBK"/>
          <w:color w:val="000000"/>
          <w:sz w:val="36"/>
        </w:rPr>
        <w:t>部门预算支出总表</w:t>
      </w:r>
      <w:bookmarkEnd w:id="2"/>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357昌黎县旅游和文化广电局</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1926.63</w:t>
            </w:r>
          </w:p>
        </w:tc>
        <w:tc>
          <w:tcPr>
            <w:tcW w:w="1361" w:type="dxa"/>
            <w:tcBorders>
              <w:top w:val="single" w:sz="6" w:space="0" w:color="000000"/>
              <w:left w:val="single" w:sz="6" w:space="0" w:color="000000"/>
              <w:right w:val="single" w:sz="6" w:space="0" w:color="000000"/>
            </w:tcBorders>
            <w:vAlign w:val="center"/>
          </w:tcPr>
          <w:p>
            <w:pPr>
              <w:pStyle w:val="23"/>
            </w:pPr>
            <w:r>
              <w:t>1138.77</w:t>
            </w:r>
          </w:p>
        </w:tc>
        <w:tc>
          <w:tcPr>
            <w:tcW w:w="1361" w:type="dxa"/>
            <w:tcBorders>
              <w:top w:val="single" w:sz="6" w:space="0" w:color="000000"/>
              <w:left w:val="single" w:sz="6" w:space="0" w:color="000000"/>
              <w:right w:val="single" w:sz="6" w:space="0" w:color="000000"/>
            </w:tcBorders>
            <w:vAlign w:val="center"/>
          </w:tcPr>
          <w:p>
            <w:pPr>
              <w:pStyle w:val="23"/>
            </w:pPr>
            <w:r>
              <w:t>787.86</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207</w:t>
            </w:r>
          </w:p>
        </w:tc>
        <w:tc>
          <w:tcPr>
            <w:tcW w:w="4535" w:type="dxa"/>
            <w:tcBorders>
              <w:top w:val="single" w:sz="6" w:space="0" w:color="000000"/>
              <w:left w:val="single" w:sz="6" w:space="0" w:color="000000"/>
              <w:right w:val="single" w:sz="6" w:space="0" w:color="000000"/>
            </w:tcBorders>
            <w:vAlign w:val="center"/>
          </w:tcPr>
          <w:p>
            <w:pPr>
              <w:pStyle w:val="20"/>
            </w:pPr>
            <w:r>
              <w:t>文化旅游体育与传媒支出</w:t>
            </w:r>
          </w:p>
        </w:tc>
        <w:tc>
          <w:tcPr>
            <w:tcW w:w="1361" w:type="dxa"/>
            <w:tcBorders>
              <w:top w:val="single" w:sz="6" w:space="0" w:color="000000"/>
              <w:left w:val="single" w:sz="6" w:space="0" w:color="000000"/>
              <w:right w:val="single" w:sz="6" w:space="0" w:color="000000"/>
            </w:tcBorders>
            <w:vAlign w:val="center"/>
          </w:tcPr>
          <w:p>
            <w:pPr>
              <w:pStyle w:val="19"/>
            </w:pPr>
            <w:r>
              <w:t>1926.63</w:t>
            </w:r>
          </w:p>
        </w:tc>
        <w:tc>
          <w:tcPr>
            <w:tcW w:w="1361" w:type="dxa"/>
            <w:tcBorders>
              <w:top w:val="single" w:sz="6" w:space="0" w:color="000000"/>
              <w:left w:val="single" w:sz="6" w:space="0" w:color="000000"/>
              <w:right w:val="single" w:sz="6" w:space="0" w:color="000000"/>
            </w:tcBorders>
            <w:vAlign w:val="center"/>
          </w:tcPr>
          <w:p>
            <w:pPr>
              <w:pStyle w:val="19"/>
            </w:pPr>
            <w:r>
              <w:t>1138.77</w:t>
            </w:r>
          </w:p>
        </w:tc>
        <w:tc>
          <w:tcPr>
            <w:tcW w:w="1361" w:type="dxa"/>
            <w:tcBorders>
              <w:top w:val="single" w:sz="6" w:space="0" w:color="000000"/>
              <w:left w:val="single" w:sz="6" w:space="0" w:color="000000"/>
              <w:right w:val="single" w:sz="6" w:space="0" w:color="000000"/>
            </w:tcBorders>
            <w:vAlign w:val="center"/>
          </w:tcPr>
          <w:p>
            <w:pPr>
              <w:pStyle w:val="19"/>
            </w:pPr>
            <w:r>
              <w:t>787.86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20701</w:t>
            </w:r>
          </w:p>
        </w:tc>
        <w:tc>
          <w:tcPr>
            <w:tcW w:w="4535" w:type="dxa"/>
            <w:tcBorders>
              <w:top w:val="single" w:sz="6" w:space="0" w:color="000000"/>
              <w:left w:val="single" w:sz="6" w:space="0" w:color="000000"/>
              <w:right w:val="single" w:sz="6" w:space="0" w:color="000000"/>
            </w:tcBorders>
            <w:vAlign w:val="center"/>
          </w:tcPr>
          <w:p>
            <w:pPr>
              <w:pStyle w:val="20"/>
            </w:pPr>
            <w:r>
              <w:t>文化和旅游</w:t>
            </w:r>
          </w:p>
        </w:tc>
        <w:tc>
          <w:tcPr>
            <w:tcW w:w="1361" w:type="dxa"/>
            <w:tcBorders>
              <w:top w:val="single" w:sz="6" w:space="0" w:color="000000"/>
              <w:left w:val="single" w:sz="6" w:space="0" w:color="000000"/>
              <w:right w:val="single" w:sz="6" w:space="0" w:color="000000"/>
            </w:tcBorders>
            <w:vAlign w:val="center"/>
          </w:tcPr>
          <w:p>
            <w:pPr>
              <w:pStyle w:val="19"/>
            </w:pPr>
            <w:r>
              <w:t>1313.65</w:t>
            </w:r>
          </w:p>
        </w:tc>
        <w:tc>
          <w:tcPr>
            <w:tcW w:w="1361" w:type="dxa"/>
            <w:tcBorders>
              <w:top w:val="single" w:sz="6" w:space="0" w:color="000000"/>
              <w:left w:val="single" w:sz="6" w:space="0" w:color="000000"/>
              <w:right w:val="single" w:sz="6" w:space="0" w:color="000000"/>
            </w:tcBorders>
            <w:vAlign w:val="center"/>
          </w:tcPr>
          <w:p>
            <w:pPr>
              <w:pStyle w:val="19"/>
            </w:pPr>
            <w:r>
              <w:t>1138.77</w:t>
            </w:r>
          </w:p>
        </w:tc>
        <w:tc>
          <w:tcPr>
            <w:tcW w:w="1361" w:type="dxa"/>
            <w:tcBorders>
              <w:top w:val="single" w:sz="6" w:space="0" w:color="000000"/>
              <w:left w:val="single" w:sz="6" w:space="0" w:color="000000"/>
              <w:right w:val="single" w:sz="6" w:space="0" w:color="000000"/>
            </w:tcBorders>
            <w:vAlign w:val="center"/>
          </w:tcPr>
          <w:p>
            <w:pPr>
              <w:pStyle w:val="19"/>
            </w:pPr>
            <w:r>
              <w:t>174.88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2070101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1361" w:type="dxa"/>
            <w:tcBorders>
              <w:top w:val="single" w:sz="6" w:space="0" w:color="000000"/>
              <w:left w:val="single" w:sz="6" w:space="0" w:color="000000"/>
              <w:right w:val="single" w:sz="6" w:space="0" w:color="000000"/>
            </w:tcBorders>
            <w:vAlign w:val="center"/>
          </w:tcPr>
          <w:p>
            <w:pPr>
              <w:pStyle w:val="19"/>
            </w:pPr>
            <w:r>
              <w:t>267.33</w:t>
            </w:r>
          </w:p>
        </w:tc>
        <w:tc>
          <w:tcPr>
            <w:tcW w:w="1361" w:type="dxa"/>
            <w:tcBorders>
              <w:top w:val="single" w:sz="6" w:space="0" w:color="000000"/>
              <w:left w:val="single" w:sz="6" w:space="0" w:color="000000"/>
              <w:right w:val="single" w:sz="6" w:space="0" w:color="000000"/>
            </w:tcBorders>
            <w:vAlign w:val="center"/>
          </w:tcPr>
          <w:p>
            <w:pPr>
              <w:pStyle w:val="19"/>
            </w:pPr>
            <w:r>
              <w:t>267.33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2070104</w:t>
            </w:r>
          </w:p>
        </w:tc>
        <w:tc>
          <w:tcPr>
            <w:tcW w:w="4535" w:type="dxa"/>
            <w:tcBorders>
              <w:top w:val="single" w:sz="6" w:space="0" w:color="000000"/>
              <w:left w:val="single" w:sz="6" w:space="0" w:color="000000"/>
              <w:right w:val="single" w:sz="6" w:space="0" w:color="000000"/>
            </w:tcBorders>
            <w:vAlign w:val="center"/>
          </w:tcPr>
          <w:p>
            <w:pPr>
              <w:pStyle w:val="20"/>
            </w:pPr>
            <w:r>
              <w:t>图书馆</w:t>
            </w:r>
          </w:p>
        </w:tc>
        <w:tc>
          <w:tcPr>
            <w:tcW w:w="1361" w:type="dxa"/>
            <w:tcBorders>
              <w:top w:val="single" w:sz="6" w:space="0" w:color="000000"/>
              <w:left w:val="single" w:sz="6" w:space="0" w:color="000000"/>
              <w:right w:val="single" w:sz="6" w:space="0" w:color="000000"/>
            </w:tcBorders>
            <w:vAlign w:val="center"/>
          </w:tcPr>
          <w:p>
            <w:pPr>
              <w:pStyle w:val="19"/>
            </w:pPr>
            <w:r>
              <w:t>151.82</w:t>
            </w:r>
          </w:p>
        </w:tc>
        <w:tc>
          <w:tcPr>
            <w:tcW w:w="1361" w:type="dxa"/>
            <w:tcBorders>
              <w:top w:val="single" w:sz="6" w:space="0" w:color="000000"/>
              <w:left w:val="single" w:sz="6" w:space="0" w:color="000000"/>
              <w:right w:val="single" w:sz="6" w:space="0" w:color="000000"/>
            </w:tcBorders>
            <w:vAlign w:val="center"/>
          </w:tcPr>
          <w:p>
            <w:pPr>
              <w:pStyle w:val="19"/>
            </w:pPr>
            <w:r>
              <w:t>145.82</w:t>
            </w:r>
          </w:p>
        </w:tc>
        <w:tc>
          <w:tcPr>
            <w:tcW w:w="1361" w:type="dxa"/>
            <w:tcBorders>
              <w:top w:val="single" w:sz="6" w:space="0" w:color="000000"/>
              <w:left w:val="single" w:sz="6" w:space="0" w:color="000000"/>
              <w:right w:val="single" w:sz="6" w:space="0" w:color="000000"/>
            </w:tcBorders>
            <w:vAlign w:val="center"/>
          </w:tcPr>
          <w:p>
            <w:pPr>
              <w:pStyle w:val="19"/>
            </w:pPr>
            <w:r>
              <w:t>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2070107</w:t>
            </w:r>
          </w:p>
        </w:tc>
        <w:tc>
          <w:tcPr>
            <w:tcW w:w="4535" w:type="dxa"/>
            <w:tcBorders>
              <w:top w:val="single" w:sz="6" w:space="0" w:color="000000"/>
              <w:left w:val="single" w:sz="6" w:space="0" w:color="000000"/>
              <w:right w:val="single" w:sz="6" w:space="0" w:color="000000"/>
            </w:tcBorders>
            <w:vAlign w:val="center"/>
          </w:tcPr>
          <w:p>
            <w:pPr>
              <w:pStyle w:val="20"/>
            </w:pPr>
            <w:r>
              <w:t>艺术表演团体</w:t>
            </w:r>
          </w:p>
        </w:tc>
        <w:tc>
          <w:tcPr>
            <w:tcW w:w="1361" w:type="dxa"/>
            <w:tcBorders>
              <w:top w:val="single" w:sz="6" w:space="0" w:color="000000"/>
              <w:left w:val="single" w:sz="6" w:space="0" w:color="000000"/>
              <w:right w:val="single" w:sz="6" w:space="0" w:color="000000"/>
            </w:tcBorders>
            <w:vAlign w:val="center"/>
          </w:tcPr>
          <w:p>
            <w:pPr>
              <w:pStyle w:val="19"/>
            </w:pPr>
            <w:r>
              <w:t>64.18</w:t>
            </w:r>
          </w:p>
        </w:tc>
        <w:tc>
          <w:tcPr>
            <w:tcW w:w="1361" w:type="dxa"/>
            <w:tcBorders>
              <w:top w:val="single" w:sz="6" w:space="0" w:color="000000"/>
              <w:left w:val="single" w:sz="6" w:space="0" w:color="000000"/>
              <w:right w:val="single" w:sz="6" w:space="0" w:color="000000"/>
            </w:tcBorders>
            <w:vAlign w:val="center"/>
          </w:tcPr>
          <w:p>
            <w:pPr>
              <w:pStyle w:val="19"/>
            </w:pPr>
            <w:r>
              <w:t>64.18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2070109</w:t>
            </w:r>
          </w:p>
        </w:tc>
        <w:tc>
          <w:tcPr>
            <w:tcW w:w="4535" w:type="dxa"/>
            <w:tcBorders>
              <w:top w:val="single" w:sz="6" w:space="0" w:color="000000"/>
              <w:left w:val="single" w:sz="6" w:space="0" w:color="000000"/>
              <w:right w:val="single" w:sz="6" w:space="0" w:color="000000"/>
            </w:tcBorders>
            <w:vAlign w:val="center"/>
          </w:tcPr>
          <w:p>
            <w:pPr>
              <w:pStyle w:val="20"/>
            </w:pPr>
            <w:r>
              <w:t>群众文化</w:t>
            </w:r>
          </w:p>
        </w:tc>
        <w:tc>
          <w:tcPr>
            <w:tcW w:w="1361" w:type="dxa"/>
            <w:tcBorders>
              <w:top w:val="single" w:sz="6" w:space="0" w:color="000000"/>
              <w:left w:val="single" w:sz="6" w:space="0" w:color="000000"/>
              <w:right w:val="single" w:sz="6" w:space="0" w:color="000000"/>
            </w:tcBorders>
            <w:vAlign w:val="center"/>
          </w:tcPr>
          <w:p>
            <w:pPr>
              <w:pStyle w:val="19"/>
            </w:pPr>
            <w:r>
              <w:t>147.24</w:t>
            </w:r>
          </w:p>
        </w:tc>
        <w:tc>
          <w:tcPr>
            <w:tcW w:w="1361" w:type="dxa"/>
            <w:tcBorders>
              <w:top w:val="single" w:sz="6" w:space="0" w:color="000000"/>
              <w:left w:val="single" w:sz="6" w:space="0" w:color="000000"/>
              <w:right w:val="single" w:sz="6" w:space="0" w:color="000000"/>
            </w:tcBorders>
            <w:vAlign w:val="center"/>
          </w:tcPr>
          <w:p>
            <w:pPr>
              <w:pStyle w:val="19"/>
            </w:pPr>
            <w:r>
              <w:t>147.24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2070199</w:t>
            </w:r>
          </w:p>
        </w:tc>
        <w:tc>
          <w:tcPr>
            <w:tcW w:w="4535" w:type="dxa"/>
            <w:tcBorders>
              <w:top w:val="single" w:sz="6" w:space="0" w:color="000000"/>
              <w:left w:val="single" w:sz="6" w:space="0" w:color="000000"/>
              <w:right w:val="single" w:sz="6" w:space="0" w:color="000000"/>
            </w:tcBorders>
            <w:vAlign w:val="center"/>
          </w:tcPr>
          <w:p>
            <w:pPr>
              <w:pStyle w:val="20"/>
            </w:pPr>
            <w:r>
              <w:t>其他文化和旅游支出</w:t>
            </w:r>
          </w:p>
        </w:tc>
        <w:tc>
          <w:tcPr>
            <w:tcW w:w="1361" w:type="dxa"/>
            <w:tcBorders>
              <w:top w:val="single" w:sz="6" w:space="0" w:color="000000"/>
              <w:left w:val="single" w:sz="6" w:space="0" w:color="000000"/>
              <w:right w:val="single" w:sz="6" w:space="0" w:color="000000"/>
            </w:tcBorders>
            <w:vAlign w:val="center"/>
          </w:tcPr>
          <w:p>
            <w:pPr>
              <w:pStyle w:val="19"/>
            </w:pPr>
            <w:r>
              <w:t>683.08</w:t>
            </w:r>
          </w:p>
        </w:tc>
        <w:tc>
          <w:tcPr>
            <w:tcW w:w="1361" w:type="dxa"/>
            <w:tcBorders>
              <w:top w:val="single" w:sz="6" w:space="0" w:color="000000"/>
              <w:left w:val="single" w:sz="6" w:space="0" w:color="000000"/>
              <w:right w:val="single" w:sz="6" w:space="0" w:color="000000"/>
            </w:tcBorders>
            <w:vAlign w:val="center"/>
          </w:tcPr>
          <w:p>
            <w:pPr>
              <w:pStyle w:val="19"/>
            </w:pPr>
            <w:r>
              <w:t>514.20</w:t>
            </w:r>
          </w:p>
        </w:tc>
        <w:tc>
          <w:tcPr>
            <w:tcW w:w="1361" w:type="dxa"/>
            <w:tcBorders>
              <w:top w:val="single" w:sz="6" w:space="0" w:color="000000"/>
              <w:left w:val="single" w:sz="6" w:space="0" w:color="000000"/>
              <w:right w:val="single" w:sz="6" w:space="0" w:color="000000"/>
            </w:tcBorders>
            <w:vAlign w:val="center"/>
          </w:tcPr>
          <w:p>
            <w:pPr>
              <w:pStyle w:val="19"/>
            </w:pPr>
            <w:r>
              <w:t>168.88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20702</w:t>
            </w:r>
          </w:p>
        </w:tc>
        <w:tc>
          <w:tcPr>
            <w:tcW w:w="4535" w:type="dxa"/>
            <w:tcBorders>
              <w:top w:val="single" w:sz="6" w:space="0" w:color="000000"/>
              <w:left w:val="single" w:sz="6" w:space="0" w:color="000000"/>
              <w:right w:val="single" w:sz="6" w:space="0" w:color="000000"/>
            </w:tcBorders>
            <w:vAlign w:val="center"/>
          </w:tcPr>
          <w:p>
            <w:pPr>
              <w:pStyle w:val="20"/>
            </w:pPr>
            <w:r>
              <w:t>文物</w:t>
            </w:r>
          </w:p>
        </w:tc>
        <w:tc>
          <w:tcPr>
            <w:tcW w:w="1361" w:type="dxa"/>
            <w:tcBorders>
              <w:top w:val="single" w:sz="6" w:space="0" w:color="000000"/>
              <w:left w:val="single" w:sz="6" w:space="0" w:color="000000"/>
              <w:right w:val="single" w:sz="6" w:space="0" w:color="000000"/>
            </w:tcBorders>
            <w:vAlign w:val="center"/>
          </w:tcPr>
          <w:p>
            <w:pPr>
              <w:pStyle w:val="19"/>
            </w:pPr>
            <w:r>
              <w:t>102.00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102.00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2070204</w:t>
            </w:r>
          </w:p>
        </w:tc>
        <w:tc>
          <w:tcPr>
            <w:tcW w:w="4535" w:type="dxa"/>
            <w:tcBorders>
              <w:top w:val="single" w:sz="6" w:space="0" w:color="000000"/>
              <w:left w:val="single" w:sz="6" w:space="0" w:color="000000"/>
              <w:right w:val="single" w:sz="6" w:space="0" w:color="000000"/>
            </w:tcBorders>
            <w:vAlign w:val="center"/>
          </w:tcPr>
          <w:p>
            <w:pPr>
              <w:pStyle w:val="20"/>
            </w:pPr>
            <w:r>
              <w:t>文物保护</w:t>
            </w:r>
          </w:p>
        </w:tc>
        <w:tc>
          <w:tcPr>
            <w:tcW w:w="1361" w:type="dxa"/>
            <w:tcBorders>
              <w:top w:val="single" w:sz="6" w:space="0" w:color="000000"/>
              <w:left w:val="single" w:sz="6" w:space="0" w:color="000000"/>
              <w:right w:val="single" w:sz="6" w:space="0" w:color="000000"/>
            </w:tcBorders>
            <w:vAlign w:val="center"/>
          </w:tcPr>
          <w:p>
            <w:pPr>
              <w:pStyle w:val="19"/>
            </w:pPr>
            <w:r>
              <w:t>92.00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92.00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2070205</w:t>
            </w:r>
          </w:p>
        </w:tc>
        <w:tc>
          <w:tcPr>
            <w:tcW w:w="4535" w:type="dxa"/>
            <w:tcBorders>
              <w:top w:val="single" w:sz="6" w:space="0" w:color="000000"/>
              <w:left w:val="single" w:sz="6" w:space="0" w:color="000000"/>
              <w:right w:val="single" w:sz="6" w:space="0" w:color="000000"/>
            </w:tcBorders>
            <w:vAlign w:val="center"/>
          </w:tcPr>
          <w:p>
            <w:pPr>
              <w:pStyle w:val="20"/>
            </w:pPr>
            <w:r>
              <w:t>博物馆</w:t>
            </w:r>
          </w:p>
        </w:tc>
        <w:tc>
          <w:tcPr>
            <w:tcW w:w="1361" w:type="dxa"/>
            <w:tcBorders>
              <w:top w:val="single" w:sz="6" w:space="0" w:color="000000"/>
              <w:left w:val="single" w:sz="6" w:space="0" w:color="000000"/>
              <w:right w:val="single" w:sz="6" w:space="0" w:color="000000"/>
            </w:tcBorders>
            <w:vAlign w:val="center"/>
          </w:tcPr>
          <w:p>
            <w:pPr>
              <w:pStyle w:val="19"/>
            </w:pPr>
            <w:r>
              <w:t>10.00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20799</w:t>
            </w:r>
          </w:p>
        </w:tc>
        <w:tc>
          <w:tcPr>
            <w:tcW w:w="4535" w:type="dxa"/>
            <w:tcBorders>
              <w:top w:val="single" w:sz="6" w:space="0" w:color="000000"/>
              <w:left w:val="single" w:sz="6" w:space="0" w:color="000000"/>
              <w:right w:val="single" w:sz="6" w:space="0" w:color="000000"/>
            </w:tcBorders>
            <w:vAlign w:val="center"/>
          </w:tcPr>
          <w:p>
            <w:pPr>
              <w:pStyle w:val="20"/>
            </w:pPr>
            <w:r>
              <w:t>其他文化旅游体育与传媒支出</w:t>
            </w:r>
          </w:p>
        </w:tc>
        <w:tc>
          <w:tcPr>
            <w:tcW w:w="1361" w:type="dxa"/>
            <w:tcBorders>
              <w:top w:val="single" w:sz="6" w:space="0" w:color="000000"/>
              <w:left w:val="single" w:sz="6" w:space="0" w:color="000000"/>
              <w:right w:val="single" w:sz="6" w:space="0" w:color="000000"/>
            </w:tcBorders>
            <w:vAlign w:val="center"/>
          </w:tcPr>
          <w:p>
            <w:pPr>
              <w:pStyle w:val="19"/>
            </w:pPr>
            <w:r>
              <w:t>510.98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510.98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2079999</w:t>
            </w:r>
          </w:p>
        </w:tc>
        <w:tc>
          <w:tcPr>
            <w:tcW w:w="4535" w:type="dxa"/>
            <w:tcBorders>
              <w:top w:val="single" w:sz="6" w:space="0" w:color="000000"/>
              <w:left w:val="single" w:sz="6" w:space="0" w:color="000000"/>
              <w:right w:val="single" w:sz="6" w:space="0" w:color="000000"/>
            </w:tcBorders>
            <w:vAlign w:val="center"/>
          </w:tcPr>
          <w:p>
            <w:pPr>
              <w:pStyle w:val="20"/>
            </w:pPr>
            <w:r>
              <w:t>其他文化旅游体育与传媒支出</w:t>
            </w:r>
          </w:p>
        </w:tc>
        <w:tc>
          <w:tcPr>
            <w:tcW w:w="1361" w:type="dxa"/>
            <w:tcBorders>
              <w:top w:val="single" w:sz="6" w:space="0" w:color="000000"/>
              <w:left w:val="single" w:sz="6" w:space="0" w:color="000000"/>
              <w:right w:val="single" w:sz="6" w:space="0" w:color="000000"/>
            </w:tcBorders>
            <w:vAlign w:val="center"/>
          </w:tcPr>
          <w:p>
            <w:pPr>
              <w:pStyle w:val="19"/>
            </w:pPr>
            <w:r>
              <w:t>510.98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510.98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eastAsia="方正小标宋_GBK" w:cs="方正小标宋_GBK" w:hAnsi="方正小标宋_GBK"/>
          <w:color w:val="000000"/>
          <w:sz w:val="36"/>
        </w:rPr>
        <w:t>部门预算财政拨款收支总表</w:t>
      </w:r>
      <w:bookmarkEnd w:id="3"/>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357昌黎县旅游和文化广电局</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1725.89</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r>
              <w:t>1926.63</w:t>
            </w:r>
          </w:p>
        </w:tc>
        <w:tc>
          <w:tcPr>
            <w:tcW w:w="1474" w:type="dxa"/>
            <w:tcBorders>
              <w:top w:val="single" w:sz="6" w:space="0" w:color="000000"/>
              <w:left w:val="single" w:sz="6" w:space="0" w:color="000000"/>
              <w:right w:val="single" w:sz="6" w:space="0" w:color="000000"/>
            </w:tcBorders>
            <w:vAlign w:val="center"/>
          </w:tcPr>
          <w:p>
            <w:pPr>
              <w:pStyle w:val="19"/>
            </w:pPr>
            <w:r>
              <w:t>1926.63</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1725.89</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1926.63</w:t>
            </w:r>
          </w:p>
        </w:tc>
        <w:tc>
          <w:tcPr>
            <w:tcW w:w="1474" w:type="dxa"/>
            <w:tcBorders>
              <w:top w:val="single" w:sz="6" w:space="0" w:color="000000"/>
              <w:left w:val="single" w:sz="6" w:space="0" w:color="000000"/>
              <w:right w:val="single" w:sz="6" w:space="0" w:color="000000"/>
            </w:tcBorders>
            <w:vAlign w:val="center"/>
          </w:tcPr>
          <w:p>
            <w:pPr>
              <w:pStyle w:val="23"/>
            </w:pPr>
            <w:r>
              <w:t>1926.63</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r>
              <w:t>200.74</w:t>
            </w: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200.74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1926.63</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1926.63</w:t>
            </w:r>
          </w:p>
        </w:tc>
        <w:tc>
          <w:tcPr>
            <w:tcW w:w="1474" w:type="dxa"/>
            <w:tcBorders>
              <w:top w:val="single" w:sz="6" w:space="0" w:color="000000"/>
              <w:left w:val="single" w:sz="6" w:space="0" w:color="000000"/>
              <w:right w:val="single" w:sz="6" w:space="0" w:color="000000"/>
            </w:tcBorders>
            <w:vAlign w:val="center"/>
          </w:tcPr>
          <w:p>
            <w:pPr>
              <w:pStyle w:val="23"/>
            </w:pPr>
            <w:r>
              <w:t>1926.63</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4" w:name="_Toc_2_2_0000000005"/>
      <w:r>
        <w:rPr>
          <w:rFonts w:ascii="方正小标宋_GBK" w:eastAsia="方正小标宋_GBK" w:cs="方正小标宋_GBK" w:hAnsi="方正小标宋_GBK"/>
          <w:color w:val="000000"/>
          <w:sz w:val="36"/>
        </w:rPr>
        <w:t>部门预算一般公共预算财政拨款支出表</w:t>
      </w:r>
      <w:bookmarkEnd w:id="4"/>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357昌黎县旅游和文化广电局</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1926.63</w:t>
            </w:r>
          </w:p>
        </w:tc>
        <w:tc>
          <w:tcPr>
            <w:tcW w:w="2551" w:type="dxa"/>
            <w:tcBorders>
              <w:top w:val="single" w:sz="6" w:space="0" w:color="000000"/>
              <w:left w:val="single" w:sz="6" w:space="0" w:color="000000"/>
              <w:right w:val="single" w:sz="6" w:space="0" w:color="000000"/>
            </w:tcBorders>
            <w:vAlign w:val="center"/>
          </w:tcPr>
          <w:p>
            <w:pPr>
              <w:pStyle w:val="23"/>
            </w:pPr>
            <w:r>
              <w:t>1138.77</w:t>
            </w:r>
          </w:p>
        </w:tc>
        <w:tc>
          <w:tcPr>
            <w:tcW w:w="2551" w:type="dxa"/>
            <w:vAlign w:val="center"/>
          </w:tcPr>
          <w:p>
            <w:pPr>
              <w:pStyle w:val="23"/>
            </w:pPr>
            <w:r>
              <w:t>787.86</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207</w:t>
            </w:r>
          </w:p>
        </w:tc>
        <w:tc>
          <w:tcPr>
            <w:tcW w:w="4535" w:type="dxa"/>
            <w:tcBorders>
              <w:top w:val="single" w:sz="6" w:space="0" w:color="000000"/>
              <w:left w:val="single" w:sz="6" w:space="0" w:color="000000"/>
              <w:right w:val="single" w:sz="6" w:space="0" w:color="000000"/>
            </w:tcBorders>
            <w:vAlign w:val="center"/>
          </w:tcPr>
          <w:p>
            <w:pPr>
              <w:pStyle w:val="20"/>
            </w:pPr>
            <w:r>
              <w:t>文化旅游体育与传媒支出</w:t>
            </w:r>
          </w:p>
        </w:tc>
        <w:tc>
          <w:tcPr>
            <w:tcW w:w="2551" w:type="dxa"/>
            <w:tcBorders>
              <w:top w:val="single" w:sz="6" w:space="0" w:color="000000"/>
              <w:left w:val="single" w:sz="6" w:space="0" w:color="000000"/>
              <w:right w:val="single" w:sz="6" w:space="0" w:color="000000"/>
            </w:tcBorders>
            <w:vAlign w:val="center"/>
          </w:tcPr>
          <w:p>
            <w:pPr>
              <w:pStyle w:val="19"/>
            </w:pPr>
            <w:r>
              <w:t>1926.63</w:t>
            </w:r>
          </w:p>
        </w:tc>
        <w:tc>
          <w:tcPr>
            <w:tcW w:w="2551" w:type="dxa"/>
            <w:tcBorders>
              <w:top w:val="single" w:sz="6" w:space="0" w:color="000000"/>
              <w:left w:val="single" w:sz="6" w:space="0" w:color="000000"/>
              <w:right w:val="single" w:sz="6" w:space="0" w:color="000000"/>
            </w:tcBorders>
            <w:vAlign w:val="center"/>
          </w:tcPr>
          <w:p>
            <w:pPr>
              <w:pStyle w:val="19"/>
            </w:pPr>
            <w:r>
              <w:t>1138.77</w:t>
            </w:r>
          </w:p>
        </w:tc>
        <w:tc>
          <w:tcPr>
            <w:tcW w:w="2551" w:type="dxa"/>
            <w:vAlign w:val="center"/>
          </w:tcPr>
          <w:p>
            <w:pPr>
              <w:pStyle w:val="19"/>
            </w:pPr>
            <w:r>
              <w:t>787.86</w:t>
            </w: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20701</w:t>
            </w:r>
          </w:p>
        </w:tc>
        <w:tc>
          <w:tcPr>
            <w:tcW w:w="4535" w:type="dxa"/>
            <w:tcBorders>
              <w:top w:val="single" w:sz="6" w:space="0" w:color="000000"/>
              <w:left w:val="single" w:sz="6" w:space="0" w:color="000000"/>
              <w:right w:val="single" w:sz="6" w:space="0" w:color="000000"/>
            </w:tcBorders>
            <w:vAlign w:val="center"/>
          </w:tcPr>
          <w:p>
            <w:pPr>
              <w:pStyle w:val="20"/>
            </w:pPr>
            <w:r>
              <w:t>文化和旅游</w:t>
            </w:r>
          </w:p>
        </w:tc>
        <w:tc>
          <w:tcPr>
            <w:tcW w:w="2551" w:type="dxa"/>
            <w:tcBorders>
              <w:top w:val="single" w:sz="6" w:space="0" w:color="000000"/>
              <w:left w:val="single" w:sz="6" w:space="0" w:color="000000"/>
              <w:right w:val="single" w:sz="6" w:space="0" w:color="000000"/>
            </w:tcBorders>
            <w:vAlign w:val="center"/>
          </w:tcPr>
          <w:p>
            <w:pPr>
              <w:pStyle w:val="19"/>
            </w:pPr>
            <w:r>
              <w:t>1313.65</w:t>
            </w:r>
          </w:p>
        </w:tc>
        <w:tc>
          <w:tcPr>
            <w:tcW w:w="2551" w:type="dxa"/>
            <w:tcBorders>
              <w:top w:val="single" w:sz="6" w:space="0" w:color="000000"/>
              <w:left w:val="single" w:sz="6" w:space="0" w:color="000000"/>
              <w:right w:val="single" w:sz="6" w:space="0" w:color="000000"/>
            </w:tcBorders>
            <w:vAlign w:val="center"/>
          </w:tcPr>
          <w:p>
            <w:pPr>
              <w:pStyle w:val="19"/>
            </w:pPr>
            <w:r>
              <w:t>1138.77</w:t>
            </w:r>
          </w:p>
        </w:tc>
        <w:tc>
          <w:tcPr>
            <w:tcW w:w="2551" w:type="dxa"/>
            <w:vAlign w:val="center"/>
          </w:tcPr>
          <w:p>
            <w:pPr>
              <w:pStyle w:val="19"/>
            </w:pPr>
            <w:r>
              <w:t>174.88</w:t>
            </w: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2070101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2551" w:type="dxa"/>
            <w:tcBorders>
              <w:top w:val="single" w:sz="6" w:space="0" w:color="000000"/>
              <w:left w:val="single" w:sz="6" w:space="0" w:color="000000"/>
              <w:right w:val="single" w:sz="6" w:space="0" w:color="000000"/>
            </w:tcBorders>
            <w:vAlign w:val="center"/>
          </w:tcPr>
          <w:p>
            <w:pPr>
              <w:pStyle w:val="19"/>
            </w:pPr>
            <w:r>
              <w:t>267.33</w:t>
            </w:r>
          </w:p>
        </w:tc>
        <w:tc>
          <w:tcPr>
            <w:tcW w:w="2551" w:type="dxa"/>
            <w:tcBorders>
              <w:top w:val="single" w:sz="6" w:space="0" w:color="000000"/>
              <w:left w:val="single" w:sz="6" w:space="0" w:color="000000"/>
              <w:right w:val="single" w:sz="6" w:space="0" w:color="000000"/>
            </w:tcBorders>
            <w:vAlign w:val="center"/>
          </w:tcPr>
          <w:p>
            <w:pPr>
              <w:pStyle w:val="19"/>
            </w:pPr>
            <w:r>
              <w:t>267.33</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2070104</w:t>
            </w:r>
          </w:p>
        </w:tc>
        <w:tc>
          <w:tcPr>
            <w:tcW w:w="4535" w:type="dxa"/>
            <w:tcBorders>
              <w:top w:val="single" w:sz="6" w:space="0" w:color="000000"/>
              <w:left w:val="single" w:sz="6" w:space="0" w:color="000000"/>
              <w:right w:val="single" w:sz="6" w:space="0" w:color="000000"/>
            </w:tcBorders>
            <w:vAlign w:val="center"/>
          </w:tcPr>
          <w:p>
            <w:pPr>
              <w:pStyle w:val="20"/>
            </w:pPr>
            <w:r>
              <w:t>图书馆</w:t>
            </w:r>
          </w:p>
        </w:tc>
        <w:tc>
          <w:tcPr>
            <w:tcW w:w="2551" w:type="dxa"/>
            <w:tcBorders>
              <w:top w:val="single" w:sz="6" w:space="0" w:color="000000"/>
              <w:left w:val="single" w:sz="6" w:space="0" w:color="000000"/>
              <w:right w:val="single" w:sz="6" w:space="0" w:color="000000"/>
            </w:tcBorders>
            <w:vAlign w:val="center"/>
          </w:tcPr>
          <w:p>
            <w:pPr>
              <w:pStyle w:val="19"/>
            </w:pPr>
            <w:r>
              <w:t>151.82</w:t>
            </w:r>
          </w:p>
        </w:tc>
        <w:tc>
          <w:tcPr>
            <w:tcW w:w="2551" w:type="dxa"/>
            <w:tcBorders>
              <w:top w:val="single" w:sz="6" w:space="0" w:color="000000"/>
              <w:left w:val="single" w:sz="6" w:space="0" w:color="000000"/>
              <w:right w:val="single" w:sz="6" w:space="0" w:color="000000"/>
            </w:tcBorders>
            <w:vAlign w:val="center"/>
          </w:tcPr>
          <w:p>
            <w:pPr>
              <w:pStyle w:val="19"/>
            </w:pPr>
            <w:r>
              <w:t>145.82</w:t>
            </w:r>
          </w:p>
        </w:tc>
        <w:tc>
          <w:tcPr>
            <w:tcW w:w="2551" w:type="dxa"/>
            <w:vAlign w:val="center"/>
          </w:tcPr>
          <w:p>
            <w:pPr>
              <w:pStyle w:val="19"/>
            </w:pPr>
            <w:r>
              <w:t>6.00</w:t>
            </w: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2070107</w:t>
            </w:r>
          </w:p>
        </w:tc>
        <w:tc>
          <w:tcPr>
            <w:tcW w:w="4535" w:type="dxa"/>
            <w:tcBorders>
              <w:top w:val="single" w:sz="6" w:space="0" w:color="000000"/>
              <w:left w:val="single" w:sz="6" w:space="0" w:color="000000"/>
              <w:right w:val="single" w:sz="6" w:space="0" w:color="000000"/>
            </w:tcBorders>
            <w:vAlign w:val="center"/>
          </w:tcPr>
          <w:p>
            <w:pPr>
              <w:pStyle w:val="20"/>
            </w:pPr>
            <w:r>
              <w:t>艺术表演团体</w:t>
            </w:r>
          </w:p>
        </w:tc>
        <w:tc>
          <w:tcPr>
            <w:tcW w:w="2551" w:type="dxa"/>
            <w:tcBorders>
              <w:top w:val="single" w:sz="6" w:space="0" w:color="000000"/>
              <w:left w:val="single" w:sz="6" w:space="0" w:color="000000"/>
              <w:right w:val="single" w:sz="6" w:space="0" w:color="000000"/>
            </w:tcBorders>
            <w:vAlign w:val="center"/>
          </w:tcPr>
          <w:p>
            <w:pPr>
              <w:pStyle w:val="19"/>
            </w:pPr>
            <w:r>
              <w:t>64.18</w:t>
            </w:r>
          </w:p>
        </w:tc>
        <w:tc>
          <w:tcPr>
            <w:tcW w:w="2551" w:type="dxa"/>
            <w:tcBorders>
              <w:top w:val="single" w:sz="6" w:space="0" w:color="000000"/>
              <w:left w:val="single" w:sz="6" w:space="0" w:color="000000"/>
              <w:right w:val="single" w:sz="6" w:space="0" w:color="000000"/>
            </w:tcBorders>
            <w:vAlign w:val="center"/>
          </w:tcPr>
          <w:p>
            <w:pPr>
              <w:pStyle w:val="19"/>
            </w:pPr>
            <w:r>
              <w:t>64.18</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2070109</w:t>
            </w:r>
          </w:p>
        </w:tc>
        <w:tc>
          <w:tcPr>
            <w:tcW w:w="4535" w:type="dxa"/>
            <w:tcBorders>
              <w:top w:val="single" w:sz="6" w:space="0" w:color="000000"/>
              <w:left w:val="single" w:sz="6" w:space="0" w:color="000000"/>
              <w:right w:val="single" w:sz="6" w:space="0" w:color="000000"/>
            </w:tcBorders>
            <w:vAlign w:val="center"/>
          </w:tcPr>
          <w:p>
            <w:pPr>
              <w:pStyle w:val="20"/>
            </w:pPr>
            <w:r>
              <w:t>群众文化</w:t>
            </w:r>
          </w:p>
        </w:tc>
        <w:tc>
          <w:tcPr>
            <w:tcW w:w="2551" w:type="dxa"/>
            <w:tcBorders>
              <w:top w:val="single" w:sz="6" w:space="0" w:color="000000"/>
              <w:left w:val="single" w:sz="6" w:space="0" w:color="000000"/>
              <w:right w:val="single" w:sz="6" w:space="0" w:color="000000"/>
            </w:tcBorders>
            <w:vAlign w:val="center"/>
          </w:tcPr>
          <w:p>
            <w:pPr>
              <w:pStyle w:val="19"/>
            </w:pPr>
            <w:r>
              <w:t>147.24</w:t>
            </w:r>
          </w:p>
        </w:tc>
        <w:tc>
          <w:tcPr>
            <w:tcW w:w="2551" w:type="dxa"/>
            <w:tcBorders>
              <w:top w:val="single" w:sz="6" w:space="0" w:color="000000"/>
              <w:left w:val="single" w:sz="6" w:space="0" w:color="000000"/>
              <w:right w:val="single" w:sz="6" w:space="0" w:color="000000"/>
            </w:tcBorders>
            <w:vAlign w:val="center"/>
          </w:tcPr>
          <w:p>
            <w:pPr>
              <w:pStyle w:val="19"/>
            </w:pPr>
            <w:r>
              <w:t>147.24</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2070199</w:t>
            </w:r>
          </w:p>
        </w:tc>
        <w:tc>
          <w:tcPr>
            <w:tcW w:w="4535" w:type="dxa"/>
            <w:tcBorders>
              <w:top w:val="single" w:sz="6" w:space="0" w:color="000000"/>
              <w:left w:val="single" w:sz="6" w:space="0" w:color="000000"/>
              <w:right w:val="single" w:sz="6" w:space="0" w:color="000000"/>
            </w:tcBorders>
            <w:vAlign w:val="center"/>
          </w:tcPr>
          <w:p>
            <w:pPr>
              <w:pStyle w:val="20"/>
            </w:pPr>
            <w:r>
              <w:t>其他文化和旅游支出</w:t>
            </w:r>
          </w:p>
        </w:tc>
        <w:tc>
          <w:tcPr>
            <w:tcW w:w="2551" w:type="dxa"/>
            <w:tcBorders>
              <w:top w:val="single" w:sz="6" w:space="0" w:color="000000"/>
              <w:left w:val="single" w:sz="6" w:space="0" w:color="000000"/>
              <w:right w:val="single" w:sz="6" w:space="0" w:color="000000"/>
            </w:tcBorders>
            <w:vAlign w:val="center"/>
          </w:tcPr>
          <w:p>
            <w:pPr>
              <w:pStyle w:val="19"/>
            </w:pPr>
            <w:r>
              <w:t>683.08</w:t>
            </w:r>
          </w:p>
        </w:tc>
        <w:tc>
          <w:tcPr>
            <w:tcW w:w="2551" w:type="dxa"/>
            <w:tcBorders>
              <w:top w:val="single" w:sz="6" w:space="0" w:color="000000"/>
              <w:left w:val="single" w:sz="6" w:space="0" w:color="000000"/>
              <w:right w:val="single" w:sz="6" w:space="0" w:color="000000"/>
            </w:tcBorders>
            <w:vAlign w:val="center"/>
          </w:tcPr>
          <w:p>
            <w:pPr>
              <w:pStyle w:val="19"/>
            </w:pPr>
            <w:r>
              <w:t>514.20</w:t>
            </w:r>
          </w:p>
        </w:tc>
        <w:tc>
          <w:tcPr>
            <w:tcW w:w="2551" w:type="dxa"/>
            <w:vAlign w:val="center"/>
          </w:tcPr>
          <w:p>
            <w:pPr>
              <w:pStyle w:val="19"/>
            </w:pPr>
            <w:r>
              <w:t>168.88</w:t>
            </w: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20702</w:t>
            </w:r>
          </w:p>
        </w:tc>
        <w:tc>
          <w:tcPr>
            <w:tcW w:w="4535" w:type="dxa"/>
            <w:tcBorders>
              <w:top w:val="single" w:sz="6" w:space="0" w:color="000000"/>
              <w:left w:val="single" w:sz="6" w:space="0" w:color="000000"/>
              <w:right w:val="single" w:sz="6" w:space="0" w:color="000000"/>
            </w:tcBorders>
            <w:vAlign w:val="center"/>
          </w:tcPr>
          <w:p>
            <w:pPr>
              <w:pStyle w:val="20"/>
            </w:pPr>
            <w:r>
              <w:t>文物</w:t>
            </w:r>
          </w:p>
        </w:tc>
        <w:tc>
          <w:tcPr>
            <w:tcW w:w="2551" w:type="dxa"/>
            <w:tcBorders>
              <w:top w:val="single" w:sz="6" w:space="0" w:color="000000"/>
              <w:left w:val="single" w:sz="6" w:space="0" w:color="000000"/>
              <w:right w:val="single" w:sz="6" w:space="0" w:color="000000"/>
            </w:tcBorders>
            <w:vAlign w:val="center"/>
          </w:tcPr>
          <w:p>
            <w:pPr>
              <w:pStyle w:val="19"/>
            </w:pPr>
            <w:r>
              <w:t>102.00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102.00</w:t>
            </w: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2070204</w:t>
            </w:r>
          </w:p>
        </w:tc>
        <w:tc>
          <w:tcPr>
            <w:tcW w:w="4535" w:type="dxa"/>
            <w:tcBorders>
              <w:top w:val="single" w:sz="6" w:space="0" w:color="000000"/>
              <w:left w:val="single" w:sz="6" w:space="0" w:color="000000"/>
              <w:right w:val="single" w:sz="6" w:space="0" w:color="000000"/>
            </w:tcBorders>
            <w:vAlign w:val="center"/>
          </w:tcPr>
          <w:p>
            <w:pPr>
              <w:pStyle w:val="20"/>
            </w:pPr>
            <w:r>
              <w:t>文物保护</w:t>
            </w:r>
          </w:p>
        </w:tc>
        <w:tc>
          <w:tcPr>
            <w:tcW w:w="2551" w:type="dxa"/>
            <w:tcBorders>
              <w:top w:val="single" w:sz="6" w:space="0" w:color="000000"/>
              <w:left w:val="single" w:sz="6" w:space="0" w:color="000000"/>
              <w:right w:val="single" w:sz="6" w:space="0" w:color="000000"/>
            </w:tcBorders>
            <w:vAlign w:val="center"/>
          </w:tcPr>
          <w:p>
            <w:pPr>
              <w:pStyle w:val="19"/>
            </w:pPr>
            <w:r>
              <w:t>92.00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92.00</w:t>
            </w: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2070205</w:t>
            </w:r>
          </w:p>
        </w:tc>
        <w:tc>
          <w:tcPr>
            <w:tcW w:w="4535" w:type="dxa"/>
            <w:tcBorders>
              <w:top w:val="single" w:sz="6" w:space="0" w:color="000000"/>
              <w:left w:val="single" w:sz="6" w:space="0" w:color="000000"/>
              <w:right w:val="single" w:sz="6" w:space="0" w:color="000000"/>
            </w:tcBorders>
            <w:vAlign w:val="center"/>
          </w:tcPr>
          <w:p>
            <w:pPr>
              <w:pStyle w:val="20"/>
            </w:pPr>
            <w:r>
              <w:t>博物馆</w:t>
            </w:r>
          </w:p>
        </w:tc>
        <w:tc>
          <w:tcPr>
            <w:tcW w:w="2551" w:type="dxa"/>
            <w:tcBorders>
              <w:top w:val="single" w:sz="6" w:space="0" w:color="000000"/>
              <w:left w:val="single" w:sz="6" w:space="0" w:color="000000"/>
              <w:right w:val="single" w:sz="6" w:space="0" w:color="000000"/>
            </w:tcBorders>
            <w:vAlign w:val="center"/>
          </w:tcPr>
          <w:p>
            <w:pPr>
              <w:pStyle w:val="19"/>
            </w:pPr>
            <w:r>
              <w:t>10.00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10.00</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20799</w:t>
            </w:r>
          </w:p>
        </w:tc>
        <w:tc>
          <w:tcPr>
            <w:tcW w:w="4535" w:type="dxa"/>
            <w:tcBorders>
              <w:top w:val="single" w:sz="6" w:space="0" w:color="000000"/>
              <w:left w:val="single" w:sz="6" w:space="0" w:color="000000"/>
              <w:right w:val="single" w:sz="6" w:space="0" w:color="000000"/>
            </w:tcBorders>
            <w:vAlign w:val="center"/>
          </w:tcPr>
          <w:p>
            <w:pPr>
              <w:pStyle w:val="20"/>
            </w:pPr>
            <w:r>
              <w:t>其他文化旅游体育与传媒支出</w:t>
            </w:r>
          </w:p>
        </w:tc>
        <w:tc>
          <w:tcPr>
            <w:tcW w:w="2551" w:type="dxa"/>
            <w:tcBorders>
              <w:top w:val="single" w:sz="6" w:space="0" w:color="000000"/>
              <w:left w:val="single" w:sz="6" w:space="0" w:color="000000"/>
              <w:right w:val="single" w:sz="6" w:space="0" w:color="000000"/>
            </w:tcBorders>
            <w:vAlign w:val="center"/>
          </w:tcPr>
          <w:p>
            <w:pPr>
              <w:pStyle w:val="19"/>
            </w:pPr>
            <w:r>
              <w:t>510.98</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510.98</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2079999</w:t>
            </w:r>
          </w:p>
        </w:tc>
        <w:tc>
          <w:tcPr>
            <w:tcW w:w="4535" w:type="dxa"/>
            <w:tcBorders>
              <w:top w:val="single" w:sz="6" w:space="0" w:color="000000"/>
              <w:left w:val="single" w:sz="6" w:space="0" w:color="000000"/>
              <w:right w:val="single" w:sz="6" w:space="0" w:color="000000"/>
            </w:tcBorders>
            <w:vAlign w:val="center"/>
          </w:tcPr>
          <w:p>
            <w:pPr>
              <w:pStyle w:val="20"/>
            </w:pPr>
            <w:r>
              <w:t>其他文化旅游体育与传媒支出</w:t>
            </w:r>
          </w:p>
        </w:tc>
        <w:tc>
          <w:tcPr>
            <w:tcW w:w="2551" w:type="dxa"/>
            <w:tcBorders>
              <w:top w:val="single" w:sz="6" w:space="0" w:color="000000"/>
              <w:left w:val="single" w:sz="6" w:space="0" w:color="000000"/>
              <w:right w:val="single" w:sz="6" w:space="0" w:color="000000"/>
            </w:tcBorders>
            <w:vAlign w:val="center"/>
          </w:tcPr>
          <w:p>
            <w:pPr>
              <w:pStyle w:val="19"/>
            </w:pPr>
            <w:r>
              <w:t>510.98</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510.98</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5" w:name="_Toc_2_2_0000000006"/>
      <w:r>
        <w:rPr>
          <w:rFonts w:ascii="方正小标宋_GBK" w:eastAsia="方正小标宋_GBK" w:cs="方正小标宋_GBK" w:hAnsi="方正小标宋_GBK"/>
          <w:color w:val="000000"/>
          <w:sz w:val="36"/>
        </w:rPr>
        <w:t>部门预算一般公共预算财政拨款基本支出表</w:t>
      </w:r>
      <w:bookmarkEnd w:id="5"/>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357昌黎县旅游和文化广电局</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1138.77</w:t>
            </w:r>
          </w:p>
        </w:tc>
        <w:tc>
          <w:tcPr>
            <w:tcW w:w="2551" w:type="dxa"/>
            <w:tcBorders>
              <w:top w:val="single" w:sz="6" w:space="0" w:color="000000"/>
              <w:left w:val="single" w:sz="6" w:space="0" w:color="000000"/>
              <w:right w:val="single" w:sz="6" w:space="0" w:color="000000"/>
            </w:tcBorders>
            <w:vAlign w:val="center"/>
          </w:tcPr>
          <w:p>
            <w:pPr>
              <w:pStyle w:val="23"/>
            </w:pPr>
            <w:r>
              <w:t>1107.04</w:t>
            </w:r>
          </w:p>
        </w:tc>
        <w:tc>
          <w:tcPr>
            <w:tcW w:w="2551" w:type="dxa"/>
            <w:vAlign w:val="center"/>
          </w:tcPr>
          <w:p>
            <w:pPr>
              <w:pStyle w:val="23"/>
            </w:pPr>
            <w:r>
              <w:t>31.73</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897.81</w:t>
            </w:r>
          </w:p>
        </w:tc>
        <w:tc>
          <w:tcPr>
            <w:tcW w:w="2551" w:type="dxa"/>
            <w:tcBorders>
              <w:top w:val="single" w:sz="6" w:space="0" w:color="000000"/>
              <w:left w:val="single" w:sz="6" w:space="0" w:color="000000"/>
              <w:right w:val="single" w:sz="6" w:space="0" w:color="000000"/>
            </w:tcBorders>
            <w:vAlign w:val="center"/>
          </w:tcPr>
          <w:p>
            <w:pPr>
              <w:pStyle w:val="19"/>
            </w:pPr>
            <w:r>
              <w:t>897.81</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352.74</w:t>
            </w:r>
          </w:p>
        </w:tc>
        <w:tc>
          <w:tcPr>
            <w:tcW w:w="2551" w:type="dxa"/>
            <w:tcBorders>
              <w:top w:val="single" w:sz="6" w:space="0" w:color="000000"/>
              <w:left w:val="single" w:sz="6" w:space="0" w:color="000000"/>
              <w:right w:val="single" w:sz="6" w:space="0" w:color="000000"/>
            </w:tcBorders>
            <w:vAlign w:val="center"/>
          </w:tcPr>
          <w:p>
            <w:pPr>
              <w:pStyle w:val="19"/>
            </w:pPr>
            <w:r>
              <w:t>352.74</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50.18</w:t>
            </w:r>
          </w:p>
        </w:tc>
        <w:tc>
          <w:tcPr>
            <w:tcW w:w="2551" w:type="dxa"/>
            <w:tcBorders>
              <w:top w:val="single" w:sz="6" w:space="0" w:color="000000"/>
              <w:left w:val="single" w:sz="6" w:space="0" w:color="000000"/>
              <w:right w:val="single" w:sz="6" w:space="0" w:color="000000"/>
            </w:tcBorders>
            <w:vAlign w:val="center"/>
          </w:tcPr>
          <w:p>
            <w:pPr>
              <w:pStyle w:val="19"/>
            </w:pPr>
            <w:r>
              <w:t>50.18</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30103</w:t>
            </w:r>
          </w:p>
        </w:tc>
        <w:tc>
          <w:tcPr>
            <w:tcW w:w="4535" w:type="dxa"/>
            <w:tcBorders>
              <w:top w:val="single" w:sz="6" w:space="0" w:color="000000"/>
              <w:left w:val="single" w:sz="6" w:space="0" w:color="000000"/>
              <w:right w:val="single" w:sz="6" w:space="0" w:color="000000"/>
            </w:tcBorders>
            <w:vAlign w:val="center"/>
          </w:tcPr>
          <w:p>
            <w:pPr>
              <w:pStyle w:val="20"/>
            </w:pPr>
            <w:r>
              <w:t>奖金</w:t>
            </w:r>
          </w:p>
        </w:tc>
        <w:tc>
          <w:tcPr>
            <w:tcW w:w="2551" w:type="dxa"/>
            <w:tcBorders>
              <w:top w:val="single" w:sz="6" w:space="0" w:color="000000"/>
              <w:left w:val="single" w:sz="6" w:space="0" w:color="000000"/>
              <w:right w:val="single" w:sz="6" w:space="0" w:color="000000"/>
            </w:tcBorders>
            <w:vAlign w:val="center"/>
          </w:tcPr>
          <w:p>
            <w:pPr>
              <w:pStyle w:val="19"/>
            </w:pPr>
            <w:r>
              <w:t>11.33</w:t>
            </w:r>
          </w:p>
        </w:tc>
        <w:tc>
          <w:tcPr>
            <w:tcW w:w="2551" w:type="dxa"/>
            <w:tcBorders>
              <w:top w:val="single" w:sz="6" w:space="0" w:color="000000"/>
              <w:left w:val="single" w:sz="6" w:space="0" w:color="000000"/>
              <w:right w:val="single" w:sz="6" w:space="0" w:color="000000"/>
            </w:tcBorders>
            <w:vAlign w:val="center"/>
          </w:tcPr>
          <w:p>
            <w:pPr>
              <w:pStyle w:val="19"/>
            </w:pPr>
            <w:r>
              <w:t>11.33</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30107</w:t>
            </w:r>
          </w:p>
        </w:tc>
        <w:tc>
          <w:tcPr>
            <w:tcW w:w="4535" w:type="dxa"/>
            <w:tcBorders>
              <w:top w:val="single" w:sz="6" w:space="0" w:color="000000"/>
              <w:left w:val="single" w:sz="6" w:space="0" w:color="000000"/>
              <w:right w:val="single" w:sz="6" w:space="0" w:color="000000"/>
            </w:tcBorders>
            <w:vAlign w:val="center"/>
          </w:tcPr>
          <w:p>
            <w:pPr>
              <w:pStyle w:val="20"/>
            </w:pPr>
            <w:r>
              <w:t>绩效工资</w:t>
            </w:r>
          </w:p>
        </w:tc>
        <w:tc>
          <w:tcPr>
            <w:tcW w:w="2551" w:type="dxa"/>
            <w:tcBorders>
              <w:top w:val="single" w:sz="6" w:space="0" w:color="000000"/>
              <w:left w:val="single" w:sz="6" w:space="0" w:color="000000"/>
              <w:right w:val="single" w:sz="6" w:space="0" w:color="000000"/>
            </w:tcBorders>
            <w:vAlign w:val="center"/>
          </w:tcPr>
          <w:p>
            <w:pPr>
              <w:pStyle w:val="19"/>
            </w:pPr>
            <w:r>
              <w:t>147.56</w:t>
            </w:r>
          </w:p>
        </w:tc>
        <w:tc>
          <w:tcPr>
            <w:tcW w:w="2551" w:type="dxa"/>
            <w:tcBorders>
              <w:top w:val="single" w:sz="6" w:space="0" w:color="000000"/>
              <w:left w:val="single" w:sz="6" w:space="0" w:color="000000"/>
              <w:right w:val="single" w:sz="6" w:space="0" w:color="000000"/>
            </w:tcBorders>
            <w:vAlign w:val="center"/>
          </w:tcPr>
          <w:p>
            <w:pPr>
              <w:pStyle w:val="19"/>
            </w:pPr>
            <w:r>
              <w:t>147.56</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87.26</w:t>
            </w:r>
          </w:p>
        </w:tc>
        <w:tc>
          <w:tcPr>
            <w:tcW w:w="2551" w:type="dxa"/>
            <w:tcBorders>
              <w:top w:val="single" w:sz="6" w:space="0" w:color="000000"/>
              <w:left w:val="single" w:sz="6" w:space="0" w:color="000000"/>
              <w:right w:val="single" w:sz="6" w:space="0" w:color="000000"/>
            </w:tcBorders>
            <w:vAlign w:val="center"/>
          </w:tcPr>
          <w:p>
            <w:pPr>
              <w:pStyle w:val="19"/>
            </w:pPr>
            <w:r>
              <w:t>87.26</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30109</w:t>
            </w:r>
          </w:p>
        </w:tc>
        <w:tc>
          <w:tcPr>
            <w:tcW w:w="4535" w:type="dxa"/>
            <w:tcBorders>
              <w:top w:val="single" w:sz="6" w:space="0" w:color="000000"/>
              <w:left w:val="single" w:sz="6" w:space="0" w:color="000000"/>
              <w:right w:val="single" w:sz="6" w:space="0" w:color="000000"/>
            </w:tcBorders>
            <w:vAlign w:val="center"/>
          </w:tcPr>
          <w:p>
            <w:pPr>
              <w:pStyle w:val="20"/>
            </w:pPr>
            <w:r>
              <w:t>职业年金缴费</w:t>
            </w:r>
          </w:p>
        </w:tc>
        <w:tc>
          <w:tcPr>
            <w:tcW w:w="2551" w:type="dxa"/>
            <w:tcBorders>
              <w:top w:val="single" w:sz="6" w:space="0" w:color="000000"/>
              <w:left w:val="single" w:sz="6" w:space="0" w:color="000000"/>
              <w:right w:val="single" w:sz="6" w:space="0" w:color="000000"/>
            </w:tcBorders>
            <w:vAlign w:val="center"/>
          </w:tcPr>
          <w:p>
            <w:pPr>
              <w:pStyle w:val="19"/>
            </w:pPr>
            <w:r>
              <w:t>29.43</w:t>
            </w:r>
          </w:p>
        </w:tc>
        <w:tc>
          <w:tcPr>
            <w:tcW w:w="2551" w:type="dxa"/>
            <w:tcBorders>
              <w:top w:val="single" w:sz="6" w:space="0" w:color="000000"/>
              <w:left w:val="single" w:sz="6" w:space="0" w:color="000000"/>
              <w:right w:val="single" w:sz="6" w:space="0" w:color="000000"/>
            </w:tcBorders>
            <w:vAlign w:val="center"/>
          </w:tcPr>
          <w:p>
            <w:pPr>
              <w:pStyle w:val="19"/>
            </w:pPr>
            <w:r>
              <w:t>29.43</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43.37</w:t>
            </w:r>
          </w:p>
        </w:tc>
        <w:tc>
          <w:tcPr>
            <w:tcW w:w="2551" w:type="dxa"/>
            <w:tcBorders>
              <w:top w:val="single" w:sz="6" w:space="0" w:color="000000"/>
              <w:left w:val="single" w:sz="6" w:space="0" w:color="000000"/>
              <w:right w:val="single" w:sz="6" w:space="0" w:color="000000"/>
            </w:tcBorders>
            <w:vAlign w:val="center"/>
          </w:tcPr>
          <w:p>
            <w:pPr>
              <w:pStyle w:val="19"/>
            </w:pPr>
            <w:r>
              <w:t>43.37</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5.72</w:t>
            </w:r>
          </w:p>
        </w:tc>
        <w:tc>
          <w:tcPr>
            <w:tcW w:w="2551" w:type="dxa"/>
            <w:tcBorders>
              <w:top w:val="single" w:sz="6" w:space="0" w:color="000000"/>
              <w:left w:val="single" w:sz="6" w:space="0" w:color="000000"/>
              <w:right w:val="single" w:sz="6" w:space="0" w:color="000000"/>
            </w:tcBorders>
            <w:vAlign w:val="center"/>
          </w:tcPr>
          <w:p>
            <w:pPr>
              <w:pStyle w:val="19"/>
            </w:pPr>
            <w:r>
              <w:t>5.72</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44.72</w:t>
            </w:r>
          </w:p>
        </w:tc>
        <w:tc>
          <w:tcPr>
            <w:tcW w:w="2551" w:type="dxa"/>
            <w:tcBorders>
              <w:top w:val="single" w:sz="6" w:space="0" w:color="000000"/>
              <w:left w:val="single" w:sz="6" w:space="0" w:color="000000"/>
              <w:right w:val="single" w:sz="6" w:space="0" w:color="000000"/>
            </w:tcBorders>
            <w:vAlign w:val="center"/>
          </w:tcPr>
          <w:p>
            <w:pPr>
              <w:pStyle w:val="19"/>
            </w:pPr>
            <w:r>
              <w:t>44.72</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30199</w:t>
            </w:r>
          </w:p>
        </w:tc>
        <w:tc>
          <w:tcPr>
            <w:tcW w:w="4535" w:type="dxa"/>
            <w:tcBorders>
              <w:top w:val="single" w:sz="6" w:space="0" w:color="000000"/>
              <w:left w:val="single" w:sz="6" w:space="0" w:color="000000"/>
              <w:right w:val="single" w:sz="6" w:space="0" w:color="000000"/>
            </w:tcBorders>
            <w:vAlign w:val="center"/>
          </w:tcPr>
          <w:p>
            <w:pPr>
              <w:pStyle w:val="20"/>
            </w:pPr>
            <w:r>
              <w:t>其他工资福利支出</w:t>
            </w:r>
          </w:p>
        </w:tc>
        <w:tc>
          <w:tcPr>
            <w:tcW w:w="2551" w:type="dxa"/>
            <w:tcBorders>
              <w:top w:val="single" w:sz="6" w:space="0" w:color="000000"/>
              <w:left w:val="single" w:sz="6" w:space="0" w:color="000000"/>
              <w:right w:val="single" w:sz="6" w:space="0" w:color="000000"/>
            </w:tcBorders>
            <w:vAlign w:val="center"/>
          </w:tcPr>
          <w:p>
            <w:pPr>
              <w:pStyle w:val="19"/>
            </w:pPr>
            <w:r>
              <w:t>125.48</w:t>
            </w:r>
          </w:p>
        </w:tc>
        <w:tc>
          <w:tcPr>
            <w:tcW w:w="2551" w:type="dxa"/>
            <w:tcBorders>
              <w:top w:val="single" w:sz="6" w:space="0" w:color="000000"/>
              <w:left w:val="single" w:sz="6" w:space="0" w:color="000000"/>
              <w:right w:val="single" w:sz="6" w:space="0" w:color="000000"/>
            </w:tcBorders>
            <w:vAlign w:val="center"/>
          </w:tcPr>
          <w:p>
            <w:pPr>
              <w:pStyle w:val="19"/>
            </w:pPr>
            <w:r>
              <w:t>125.48</w:t>
            </w:r>
          </w:p>
        </w:tc>
        <w:tc>
          <w:tcPr>
            <w:tcW w:w="2551" w:type="dxa"/>
            <w:vAlign w:val="center"/>
          </w:tcPr>
          <w:p>
            <w:pPr>
              <w:pStyle w:val="19"/>
            </w:pP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31.73</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31.73</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10.00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10.00</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30205</w:t>
            </w:r>
          </w:p>
        </w:tc>
        <w:tc>
          <w:tcPr>
            <w:tcW w:w="4535" w:type="dxa"/>
            <w:tcBorders>
              <w:top w:val="single" w:sz="6" w:space="0" w:color="000000"/>
              <w:left w:val="single" w:sz="6" w:space="0" w:color="000000"/>
              <w:right w:val="single" w:sz="6" w:space="0" w:color="000000"/>
            </w:tcBorders>
            <w:vAlign w:val="center"/>
          </w:tcPr>
          <w:p>
            <w:pPr>
              <w:pStyle w:val="20"/>
            </w:pPr>
            <w:r>
              <w:t>水费</w:t>
            </w:r>
          </w:p>
        </w:tc>
        <w:tc>
          <w:tcPr>
            <w:tcW w:w="2551" w:type="dxa"/>
            <w:tcBorders>
              <w:top w:val="single" w:sz="6" w:space="0" w:color="000000"/>
              <w:left w:val="single" w:sz="6" w:space="0" w:color="000000"/>
              <w:right w:val="single" w:sz="6" w:space="0" w:color="000000"/>
            </w:tcBorders>
            <w:vAlign w:val="center"/>
          </w:tcPr>
          <w:p>
            <w:pPr>
              <w:pStyle w:val="19"/>
            </w:pPr>
            <w:r>
              <w:t>0.30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0.30</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30206</w:t>
            </w:r>
          </w:p>
        </w:tc>
        <w:tc>
          <w:tcPr>
            <w:tcW w:w="4535" w:type="dxa"/>
            <w:tcBorders>
              <w:top w:val="single" w:sz="6" w:space="0" w:color="000000"/>
              <w:left w:val="single" w:sz="6" w:space="0" w:color="000000"/>
              <w:right w:val="single" w:sz="6" w:space="0" w:color="000000"/>
            </w:tcBorders>
            <w:vAlign w:val="center"/>
          </w:tcPr>
          <w:p>
            <w:pPr>
              <w:pStyle w:val="20"/>
            </w:pPr>
            <w:r>
              <w:t>电费</w:t>
            </w:r>
          </w:p>
        </w:tc>
        <w:tc>
          <w:tcPr>
            <w:tcW w:w="2551" w:type="dxa"/>
            <w:tcBorders>
              <w:top w:val="single" w:sz="6" w:space="0" w:color="000000"/>
              <w:left w:val="single" w:sz="6" w:space="0" w:color="000000"/>
              <w:right w:val="single" w:sz="6" w:space="0" w:color="000000"/>
            </w:tcBorders>
            <w:vAlign w:val="center"/>
          </w:tcPr>
          <w:p>
            <w:pPr>
              <w:pStyle w:val="19"/>
            </w:pPr>
            <w:r>
              <w:t>1.50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1.50</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4.76</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4.76</w:t>
            </w: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30231</w:t>
            </w:r>
          </w:p>
        </w:tc>
        <w:tc>
          <w:tcPr>
            <w:tcW w:w="4535" w:type="dxa"/>
            <w:tcBorders>
              <w:top w:val="single" w:sz="6" w:space="0" w:color="000000"/>
              <w:left w:val="single" w:sz="6" w:space="0" w:color="000000"/>
              <w:right w:val="single" w:sz="6" w:space="0" w:color="000000"/>
            </w:tcBorders>
            <w:vAlign w:val="center"/>
          </w:tcPr>
          <w:p>
            <w:pPr>
              <w:pStyle w:val="20"/>
            </w:pPr>
            <w:r>
              <w:t>公务用车运行维护费</w:t>
            </w:r>
          </w:p>
        </w:tc>
        <w:tc>
          <w:tcPr>
            <w:tcW w:w="2551" w:type="dxa"/>
            <w:tcBorders>
              <w:top w:val="single" w:sz="6" w:space="0" w:color="000000"/>
              <w:left w:val="single" w:sz="6" w:space="0" w:color="000000"/>
              <w:right w:val="single" w:sz="6" w:space="0" w:color="000000"/>
            </w:tcBorders>
            <w:vAlign w:val="center"/>
          </w:tcPr>
          <w:p>
            <w:pPr>
              <w:pStyle w:val="19"/>
            </w:pPr>
            <w:r>
              <w:t>7.20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7.20</w:t>
            </w:r>
          </w:p>
        </w:tc>
      </w:tr>
      <w:tr>
        <w:trPr>
          <w:trHeight w:val="369"/>
        </w:trPr>
        <w:tc>
          <w:tcPr>
            <w:tcW w:w="850" w:type="dxa"/>
            <w:vAlign w:val="center"/>
          </w:tcPr>
          <w:p>
            <w:pPr>
              <w:pStyle w:val="21"/>
            </w:pPr>
            <w:r>
              <w:t>19</w:t>
            </w:r>
          </w:p>
        </w:tc>
        <w:tc>
          <w:tcPr>
            <w:tcW w:w="1191" w:type="dxa"/>
            <w:tcBorders>
              <w:top w:val="single" w:sz="6" w:space="0" w:color="000000"/>
              <w:left w:val="single" w:sz="6" w:space="0" w:color="000000"/>
              <w:right w:val="single" w:sz="6" w:space="0" w:color="000000"/>
            </w:tcBorders>
            <w:vAlign w:val="center"/>
          </w:tcPr>
          <w:p>
            <w:pPr>
              <w:pStyle w:val="20"/>
            </w:pPr>
            <w:r>
              <w:t>30239</w:t>
            </w:r>
          </w:p>
        </w:tc>
        <w:tc>
          <w:tcPr>
            <w:tcW w:w="4535" w:type="dxa"/>
            <w:tcBorders>
              <w:top w:val="single" w:sz="6" w:space="0" w:color="000000"/>
              <w:left w:val="single" w:sz="6" w:space="0" w:color="000000"/>
              <w:right w:val="single" w:sz="6" w:space="0" w:color="000000"/>
            </w:tcBorders>
            <w:vAlign w:val="center"/>
          </w:tcPr>
          <w:p>
            <w:pPr>
              <w:pStyle w:val="20"/>
            </w:pPr>
            <w:r>
              <w:t>其他交通费用</w:t>
            </w:r>
          </w:p>
        </w:tc>
        <w:tc>
          <w:tcPr>
            <w:tcW w:w="2551" w:type="dxa"/>
            <w:tcBorders>
              <w:top w:val="single" w:sz="6" w:space="0" w:color="000000"/>
              <w:left w:val="single" w:sz="6" w:space="0" w:color="000000"/>
              <w:right w:val="single" w:sz="6" w:space="0" w:color="000000"/>
            </w:tcBorders>
            <w:vAlign w:val="center"/>
          </w:tcPr>
          <w:p>
            <w:pPr>
              <w:pStyle w:val="19"/>
            </w:pPr>
            <w:r>
              <w:t>7.26</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7.26</w:t>
            </w:r>
          </w:p>
        </w:tc>
      </w:tr>
      <w:tr>
        <w:trPr>
          <w:trHeight w:val="369"/>
        </w:trPr>
        <w:tc>
          <w:tcPr>
            <w:tcW w:w="850" w:type="dxa"/>
            <w:vAlign w:val="center"/>
          </w:tcPr>
          <w:p>
            <w:pPr>
              <w:pStyle w:val="21"/>
            </w:pPr>
            <w:r>
              <w:t>20</w:t>
            </w:r>
          </w:p>
        </w:tc>
        <w:tc>
          <w:tcPr>
            <w:tcW w:w="1191" w:type="dxa"/>
            <w:tcBorders>
              <w:top w:val="single" w:sz="6" w:space="0" w:color="000000"/>
              <w:left w:val="single" w:sz="6" w:space="0" w:color="000000"/>
              <w:right w:val="single" w:sz="6" w:space="0" w:color="000000"/>
            </w:tcBorders>
            <w:vAlign w:val="center"/>
          </w:tcPr>
          <w:p>
            <w:pPr>
              <w:pStyle w:val="20"/>
            </w:pPr>
            <w:r>
              <w:t>30299</w:t>
            </w:r>
          </w:p>
        </w:tc>
        <w:tc>
          <w:tcPr>
            <w:tcW w:w="4535" w:type="dxa"/>
            <w:tcBorders>
              <w:top w:val="single" w:sz="6" w:space="0" w:color="000000"/>
              <w:left w:val="single" w:sz="6" w:space="0" w:color="000000"/>
              <w:right w:val="single" w:sz="6" w:space="0" w:color="000000"/>
            </w:tcBorders>
            <w:vAlign w:val="center"/>
          </w:tcPr>
          <w:p>
            <w:pPr>
              <w:pStyle w:val="20"/>
            </w:pPr>
            <w:r>
              <w:t>其他商品和服务支出</w:t>
            </w:r>
          </w:p>
        </w:tc>
        <w:tc>
          <w:tcPr>
            <w:tcW w:w="2551" w:type="dxa"/>
            <w:tcBorders>
              <w:top w:val="single" w:sz="6" w:space="0" w:color="000000"/>
              <w:left w:val="single" w:sz="6" w:space="0" w:color="000000"/>
              <w:right w:val="single" w:sz="6" w:space="0" w:color="000000"/>
            </w:tcBorders>
            <w:vAlign w:val="center"/>
          </w:tcPr>
          <w:p>
            <w:pPr>
              <w:pStyle w:val="19"/>
            </w:pPr>
            <w:r>
              <w:t>0.71</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0.71</w:t>
            </w:r>
          </w:p>
        </w:tc>
      </w:tr>
      <w:tr>
        <w:trPr>
          <w:trHeight w:val="369"/>
        </w:trPr>
        <w:tc>
          <w:tcPr>
            <w:tcW w:w="850" w:type="dxa"/>
            <w:vAlign w:val="center"/>
          </w:tcPr>
          <w:p>
            <w:pPr>
              <w:pStyle w:val="21"/>
            </w:pPr>
            <w:r>
              <w:t>21</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209.23</w:t>
            </w:r>
          </w:p>
        </w:tc>
        <w:tc>
          <w:tcPr>
            <w:tcW w:w="2551" w:type="dxa"/>
            <w:tcBorders>
              <w:top w:val="single" w:sz="6" w:space="0" w:color="000000"/>
              <w:left w:val="single" w:sz="6" w:space="0" w:color="000000"/>
              <w:right w:val="single" w:sz="6" w:space="0" w:color="000000"/>
            </w:tcBorders>
            <w:vAlign w:val="center"/>
          </w:tcPr>
          <w:p>
            <w:pPr>
              <w:pStyle w:val="19"/>
            </w:pPr>
            <w:r>
              <w:t>209.23</w:t>
            </w:r>
          </w:p>
        </w:tc>
        <w:tc>
          <w:tcPr>
            <w:tcW w:w="2551" w:type="dxa"/>
            <w:vAlign w:val="center"/>
          </w:tcPr>
          <w:p>
            <w:pPr>
              <w:pStyle w:val="19"/>
            </w:pPr>
          </w:p>
        </w:tc>
      </w:tr>
      <w:tr>
        <w:trPr>
          <w:trHeight w:val="369"/>
        </w:trPr>
        <w:tc>
          <w:tcPr>
            <w:tcW w:w="850" w:type="dxa"/>
            <w:vAlign w:val="center"/>
          </w:tcPr>
          <w:p>
            <w:pPr>
              <w:pStyle w:val="21"/>
            </w:pPr>
            <w:r>
              <w:t>22</w:t>
            </w:r>
          </w:p>
        </w:tc>
        <w:tc>
          <w:tcPr>
            <w:tcW w:w="1191" w:type="dxa"/>
            <w:tcBorders>
              <w:top w:val="single" w:sz="6" w:space="0" w:color="000000"/>
              <w:left w:val="single" w:sz="6" w:space="0" w:color="000000"/>
              <w:right w:val="single" w:sz="6" w:space="0" w:color="000000"/>
            </w:tcBorders>
            <w:vAlign w:val="center"/>
          </w:tcPr>
          <w:p>
            <w:pPr>
              <w:pStyle w:val="20"/>
            </w:pPr>
            <w:r>
              <w:t>30301</w:t>
            </w:r>
          </w:p>
        </w:tc>
        <w:tc>
          <w:tcPr>
            <w:tcW w:w="4535" w:type="dxa"/>
            <w:tcBorders>
              <w:top w:val="single" w:sz="6" w:space="0" w:color="000000"/>
              <w:left w:val="single" w:sz="6" w:space="0" w:color="000000"/>
              <w:right w:val="single" w:sz="6" w:space="0" w:color="000000"/>
            </w:tcBorders>
            <w:vAlign w:val="center"/>
          </w:tcPr>
          <w:p>
            <w:pPr>
              <w:pStyle w:val="20"/>
            </w:pPr>
            <w:r>
              <w:t>离休费</w:t>
            </w:r>
          </w:p>
        </w:tc>
        <w:tc>
          <w:tcPr>
            <w:tcW w:w="2551" w:type="dxa"/>
            <w:tcBorders>
              <w:top w:val="single" w:sz="6" w:space="0" w:color="000000"/>
              <w:left w:val="single" w:sz="6" w:space="0" w:color="000000"/>
              <w:right w:val="single" w:sz="6" w:space="0" w:color="000000"/>
            </w:tcBorders>
            <w:vAlign w:val="center"/>
          </w:tcPr>
          <w:p>
            <w:pPr>
              <w:pStyle w:val="19"/>
            </w:pPr>
            <w:r>
              <w:t>13.04</w:t>
            </w:r>
          </w:p>
        </w:tc>
        <w:tc>
          <w:tcPr>
            <w:tcW w:w="2551" w:type="dxa"/>
            <w:tcBorders>
              <w:top w:val="single" w:sz="6" w:space="0" w:color="000000"/>
              <w:left w:val="single" w:sz="6" w:space="0" w:color="000000"/>
              <w:right w:val="single" w:sz="6" w:space="0" w:color="000000"/>
            </w:tcBorders>
            <w:vAlign w:val="center"/>
          </w:tcPr>
          <w:p>
            <w:pPr>
              <w:pStyle w:val="19"/>
            </w:pPr>
            <w:r>
              <w:t>13.04</w:t>
            </w:r>
          </w:p>
        </w:tc>
        <w:tc>
          <w:tcPr>
            <w:tcW w:w="2551" w:type="dxa"/>
            <w:vAlign w:val="center"/>
          </w:tcPr>
          <w:p>
            <w:pPr>
              <w:pStyle w:val="19"/>
            </w:pPr>
          </w:p>
        </w:tc>
      </w:tr>
      <w:tr>
        <w:trPr>
          <w:trHeight w:val="369"/>
        </w:trPr>
        <w:tc>
          <w:tcPr>
            <w:tcW w:w="850" w:type="dxa"/>
            <w:vAlign w:val="center"/>
          </w:tcPr>
          <w:p>
            <w:pPr>
              <w:pStyle w:val="21"/>
            </w:pPr>
            <w:r>
              <w:t>23</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191.01</w:t>
            </w:r>
          </w:p>
        </w:tc>
        <w:tc>
          <w:tcPr>
            <w:tcW w:w="2551" w:type="dxa"/>
            <w:tcBorders>
              <w:top w:val="single" w:sz="6" w:space="0" w:color="000000"/>
              <w:left w:val="single" w:sz="6" w:space="0" w:color="000000"/>
              <w:right w:val="single" w:sz="6" w:space="0" w:color="000000"/>
            </w:tcBorders>
            <w:vAlign w:val="center"/>
          </w:tcPr>
          <w:p>
            <w:pPr>
              <w:pStyle w:val="19"/>
            </w:pPr>
            <w:r>
              <w:t>191.01</w:t>
            </w:r>
          </w:p>
        </w:tc>
        <w:tc>
          <w:tcPr>
            <w:tcW w:w="2551" w:type="dxa"/>
            <w:vAlign w:val="center"/>
          </w:tcPr>
          <w:p>
            <w:pPr>
              <w:pStyle w:val="19"/>
            </w:pPr>
          </w:p>
        </w:tc>
      </w:tr>
      <w:tr>
        <w:trPr>
          <w:trHeight w:val="369"/>
        </w:trPr>
        <w:tc>
          <w:tcPr>
            <w:tcW w:w="850" w:type="dxa"/>
            <w:vAlign w:val="center"/>
          </w:tcPr>
          <w:p>
            <w:pPr>
              <w:pStyle w:val="21"/>
            </w:pPr>
            <w:r>
              <w:t>24</w:t>
            </w:r>
          </w:p>
        </w:tc>
        <w:tc>
          <w:tcPr>
            <w:tcW w:w="1191" w:type="dxa"/>
            <w:tcBorders>
              <w:top w:val="single" w:sz="6" w:space="0" w:color="000000"/>
              <w:left w:val="single" w:sz="6" w:space="0" w:color="000000"/>
              <w:right w:val="single" w:sz="6" w:space="0" w:color="000000"/>
            </w:tcBorders>
            <w:vAlign w:val="center"/>
          </w:tcPr>
          <w:p>
            <w:pPr>
              <w:pStyle w:val="20"/>
            </w:pPr>
            <w:r>
              <w:t>30305</w:t>
            </w:r>
          </w:p>
        </w:tc>
        <w:tc>
          <w:tcPr>
            <w:tcW w:w="4535" w:type="dxa"/>
            <w:tcBorders>
              <w:top w:val="single" w:sz="6" w:space="0" w:color="000000"/>
              <w:left w:val="single" w:sz="6" w:space="0" w:color="000000"/>
              <w:right w:val="single" w:sz="6" w:space="0" w:color="000000"/>
            </w:tcBorders>
            <w:vAlign w:val="center"/>
          </w:tcPr>
          <w:p>
            <w:pPr>
              <w:pStyle w:val="20"/>
            </w:pPr>
            <w:r>
              <w:t>生活补助</w:t>
            </w:r>
          </w:p>
        </w:tc>
        <w:tc>
          <w:tcPr>
            <w:tcW w:w="2551" w:type="dxa"/>
            <w:tcBorders>
              <w:top w:val="single" w:sz="6" w:space="0" w:color="000000"/>
              <w:left w:val="single" w:sz="6" w:space="0" w:color="000000"/>
              <w:right w:val="single" w:sz="6" w:space="0" w:color="000000"/>
            </w:tcBorders>
            <w:vAlign w:val="center"/>
          </w:tcPr>
          <w:p>
            <w:pPr>
              <w:pStyle w:val="19"/>
            </w:pPr>
            <w:r>
              <w:t>5.19</w:t>
            </w:r>
          </w:p>
        </w:tc>
        <w:tc>
          <w:tcPr>
            <w:tcW w:w="2551" w:type="dxa"/>
            <w:tcBorders>
              <w:top w:val="single" w:sz="6" w:space="0" w:color="000000"/>
              <w:left w:val="single" w:sz="6" w:space="0" w:color="000000"/>
              <w:right w:val="single" w:sz="6" w:space="0" w:color="000000"/>
            </w:tcBorders>
            <w:vAlign w:val="center"/>
          </w:tcPr>
          <w:p>
            <w:pPr>
              <w:pStyle w:val="19"/>
            </w:pPr>
            <w:r>
              <w:t>5.19</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6" w:name="_Toc_2_2_0000000007"/>
      <w:r>
        <w:rPr>
          <w:rFonts w:ascii="方正小标宋_GBK" w:eastAsia="方正小标宋_GBK" w:cs="方正小标宋_GBK" w:hAnsi="方正小标宋_GBK"/>
          <w:color w:val="000000"/>
          <w:sz w:val="36"/>
        </w:rPr>
        <w:t>部门预算政府性基金预算财政拨款支出表</w:t>
      </w:r>
      <w:bookmarkEnd w:id="6"/>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357昌黎县旅游和文化广电局</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eastAsia="方正小标宋_GBK" w:cs="方正小标宋_GBK" w:hAnsi="方正小标宋_GBK"/>
          <w:color w:val="000000"/>
          <w:sz w:val="36"/>
        </w:rPr>
        <w:t>部门预算国有资本经营预算财政拨款支出表</w:t>
      </w:r>
      <w:bookmarkEnd w:id="7"/>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357昌黎县旅游和文化广电局</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cs="方正小标宋_GBK" w:hAnsi="方正小标宋_GBK"/>
          <w:color w:val="000000"/>
          <w:sz w:val="36"/>
        </w:rPr>
        <w:t>部门预算财政拨款“三公”经费支出表</w:t>
      </w:r>
      <w:bookmarkEnd w:id="8"/>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357昌黎县旅游和文化广电局</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7.20</w:t>
            </w:r>
          </w:p>
        </w:tc>
        <w:tc>
          <w:tcPr>
            <w:tcW w:w="2381" w:type="dxa"/>
            <w:tcBorders>
              <w:top w:val="single" w:sz="6" w:space="0" w:color="000000"/>
              <w:left w:val="single" w:sz="6" w:space="0" w:color="000000"/>
              <w:right w:val="single" w:sz="6" w:space="0" w:color="000000"/>
            </w:tcBorders>
            <w:vAlign w:val="center"/>
          </w:tcPr>
          <w:p>
            <w:pPr>
              <w:pStyle w:val="23"/>
            </w:pPr>
            <w:r>
              <w:t>7.20</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7.20</w:t>
            </w:r>
          </w:p>
        </w:tc>
        <w:tc>
          <w:tcPr>
            <w:tcW w:w="2381" w:type="dxa"/>
            <w:tcBorders>
              <w:top w:val="single" w:sz="6" w:space="0" w:color="000000"/>
              <w:left w:val="single" w:sz="6" w:space="0" w:color="000000"/>
              <w:right w:val="single" w:sz="6" w:space="0" w:color="000000"/>
            </w:tcBorders>
            <w:vAlign w:val="center"/>
          </w:tcPr>
          <w:p>
            <w:pPr>
              <w:pStyle w:val="19"/>
            </w:pPr>
            <w:r>
              <w:t>7.20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r>
              <w:t>7.20</w:t>
            </w:r>
          </w:p>
        </w:tc>
        <w:tc>
          <w:tcPr>
            <w:tcW w:w="2381" w:type="dxa"/>
            <w:tcBorders>
              <w:top w:val="single" w:sz="6" w:space="0" w:color="000000"/>
              <w:left w:val="single" w:sz="6" w:space="0" w:color="000000"/>
              <w:right w:val="single" w:sz="6" w:space="0" w:color="000000"/>
            </w:tcBorders>
            <w:vAlign w:val="center"/>
          </w:tcPr>
          <w:p>
            <w:pPr>
              <w:pStyle w:val="19"/>
            </w:pPr>
            <w:r>
              <w:t>7.20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r>
              <w:t>7.20</w:t>
            </w:r>
          </w:p>
        </w:tc>
        <w:tc>
          <w:tcPr>
            <w:tcW w:w="2381" w:type="dxa"/>
            <w:tcBorders>
              <w:top w:val="single" w:sz="6" w:space="0" w:color="000000"/>
              <w:left w:val="single" w:sz="6" w:space="0" w:color="000000"/>
              <w:right w:val="single" w:sz="6" w:space="0" w:color="000000"/>
            </w:tcBorders>
            <w:vAlign w:val="center"/>
          </w:tcPr>
          <w:p>
            <w:pPr>
              <w:pStyle w:val="19"/>
            </w:pPr>
            <w:r>
              <w:t>7.20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pacing w:before="0" w:after="0" w:line="240" w:lineRule="auto"/>
        <w:ind w:firstLine="0"/>
        <w:jc w:val="center"/>
        <w:outlineLvl w:val="0"/>
        <w:sectPr>
          <w:pgSz w:w="16840" w:h="11900" w:orient="landscape"/>
          <w:pgMar w:top="1361" w:right="1020" w:bottom="1361" w:left="1020" w:header="720" w:footer="720" w:gutter="0"/>
          <w:docGrid w:linePitch="326" w:charSpace="0"/>
        </w:sectPr>
      </w:pPr>
      <w:r>
        <w:rPr>
          <w:rFonts w:ascii="方正书宋_GBK" w:eastAsia="方正书宋_GBK" w:cs="方正书宋_GBK" w:hAnsi="方正书宋_GBK"/>
          <w:color w:val="FFFFFF"/>
          <w:sz w:val="21"/>
        </w:rPr>
        <w:t>第一部分  昌黎县旅游和文化广电局2026年部门预算信息公开情况说明</w:t>
      </w:r>
    </w:p>
    <w:p>
      <w:pPr>
        <w:spacing w:before="0" w:after="0" w:line="240" w:lineRule="auto"/>
        <w:ind w:firstLine="0"/>
        <w:jc w:val="center"/>
        <w:outlineLvl w:val="9"/>
      </w:pPr>
      <w:r>
        <w:rPr>
          <w:rFonts w:ascii="方正小标宋_GBK" w:eastAsia="方正小标宋_GBK" w:cs="方正小标宋_GBK" w:hAnsi="方正小标宋_GBK"/>
          <w:color w:val="000000"/>
          <w:sz w:val="44"/>
        </w:rPr>
        <w:t>昌黎县旅游和文化广电局2026年部门预算信息公开情况说明</w:t>
      </w:r>
    </w:p>
    <w:p>
      <w:pPr>
        <w:spacing w:before="0" w:after="0" w:line="500" w:lineRule="exact"/>
        <w:ind w:firstLine="560"/>
        <w:jc w:val="left"/>
        <w:outlineLvl w:val="9"/>
      </w:pPr>
      <w:r>
        <w:rPr>
          <w:rFonts w:ascii="Times New Roman" w:eastAsia="方正仿宋_GBK" w:cs="Times New Roman" w:hAnsi="Times New Roman"/>
          <w:color w:val="000000"/>
          <w:sz w:val="28"/>
        </w:rPr>
        <w:t>按照《中华人民共和国预算法》、《地方预决算公开操作规程》和《关于进一步推进预算公开工作的实施意见》规定，现将昌黎县旅游和文化广电局2026年部门预算公开如下：</w:t>
      </w:r>
    </w:p>
    <w:p>
      <w:pPr>
        <w:spacing w:before="10" w:after="10" w:line="360" w:lineRule="auto"/>
        <w:ind w:firstLine="640"/>
        <w:jc w:val="left"/>
        <w:outlineLvl w:val="2"/>
      </w:pPr>
      <w:bookmarkStart w:id="9" w:name="_Toc_3_3_0000000010"/>
      <w:r>
        <w:rPr>
          <w:rFonts w:ascii="黑体" w:eastAsia="黑体" w:cs="黑体" w:hAnsi="黑体"/>
          <w:color w:val="000000"/>
          <w:sz w:val="32"/>
        </w:rPr>
        <w:t>一、部门职责及机构设置情况</w:t>
      </w:r>
      <w:bookmarkEnd w:id="9"/>
    </w:p>
    <w:p>
      <w:pPr>
        <w:spacing w:before="0" w:after="0" w:line="240" w:lineRule="auto"/>
        <w:ind w:firstLine="640"/>
        <w:jc w:val="left"/>
        <w:outlineLvl w:val="9"/>
      </w:pPr>
      <w:r>
        <w:rPr>
          <w:rFonts w:ascii="方正楷体_GBK" w:eastAsia="方正楷体_GBK" w:cs="方正楷体_GBK" w:hAnsi="方正楷体_GBK"/>
          <w:b/>
          <w:color w:val="000000"/>
          <w:sz w:val="32"/>
        </w:rPr>
        <w:t>部门职责：</w:t>
      </w:r>
    </w:p>
    <w:p>
      <w:pPr>
        <w:pStyle w:val="25"/>
      </w:pPr>
      <w:r>
        <w:t>按照中共昌黎县委、昌黎县人民政府《关于印发〈昌黎县机构改革方案〉的通知》要求，将昌黎县文化和旅游发展委员会（体育广电新闻出版局、文物局）的旅游、文化、广播电视、文物管理职责整合，组建昌黎县旅游和文化广电局，简称昌黎县旅游文广局（加挂县文物局牌子）。</w:t>
      </w:r>
    </w:p>
    <w:p>
      <w:pPr>
        <w:pStyle w:val="25"/>
      </w:pPr>
      <w:r>
        <w:t>主要职责：</w:t>
      </w:r>
    </w:p>
    <w:p>
      <w:pPr>
        <w:pStyle w:val="25"/>
      </w:pPr>
      <w:r>
        <w:t>1、拟订全县文化和旅游、广播电视、文物等政府规范性文件。</w:t>
      </w:r>
    </w:p>
    <w:p>
      <w:pPr>
        <w:pStyle w:val="25"/>
      </w:pPr>
      <w:r>
        <w:t>2、拟订全县文化和旅游、广播电视、文物领域发展规划并组织实施，推进文化和旅游融合发展，推进相关领域体制机制改革。</w:t>
      </w:r>
    </w:p>
    <w:p>
      <w:pPr>
        <w:pStyle w:val="25"/>
      </w:pPr>
      <w:r>
        <w:t>3、管理全县性重大文化活动。指导全县重点文化和旅游设施建设，组织昌黎县旅游整体形象推广,促进文化产业和旅游产业对外合作与交流,制定全县旅游市场开发营销战略并组织实施,指导和推进全域旅游。</w:t>
      </w:r>
    </w:p>
    <w:p>
      <w:pPr>
        <w:pStyle w:val="25"/>
      </w:pPr>
      <w:r>
        <w:t>4、指导、管理全县文艺事业。指导艺术创作生产，扶持体现社会主义核心价值观、具有导向性代表性示范性的文艺作品，推动全县各门类艺术、各艺术品种发展。</w:t>
      </w:r>
    </w:p>
    <w:p>
      <w:pPr>
        <w:pStyle w:val="25"/>
      </w:pPr>
      <w:r>
        <w:t>5、负责全县公共文化和旅游事业发展。推进全县公共文化服务体系、旅游公共服务体系建设，协调推进国家公共文化服务体系示范区建设，深入实施文化惠民工程，统筹推进基本公共文化服务的标准化、均等化。</w:t>
      </w:r>
    </w:p>
    <w:p>
      <w:pPr>
        <w:pStyle w:val="25"/>
      </w:pPr>
      <w:r>
        <w:t>6、指导、推进全县旅游、文化、广播电视、文物科技创新发展，推进文化和旅游行业信息化、标准化建设。</w:t>
      </w:r>
    </w:p>
    <w:p>
      <w:pPr>
        <w:pStyle w:val="25"/>
      </w:pPr>
      <w:r>
        <w:t>7、负责全县非物质文化遗产保护工作，推动非物质文化遗产的保护、传承、普及、弘扬和振兴。</w:t>
      </w:r>
    </w:p>
    <w:p>
      <w:pPr>
        <w:pStyle w:val="25"/>
      </w:pPr>
      <w:r>
        <w:t>8、统筹规划全县旅游产业、文化产业和广播电视产业。组织实施旅游、文化资源普查、挖掘、保护和利用工作,促进旅游产业和文化产业发展。</w:t>
      </w:r>
    </w:p>
    <w:p>
      <w:pPr>
        <w:pStyle w:val="25"/>
      </w:pPr>
      <w:r>
        <w:t>9、指导全县文化和旅游市场发展。对文化和旅游市场经营进行行业监管，推进全县文化和旅游行业信用体系建设,依法规范文化和旅游市场。</w:t>
      </w:r>
    </w:p>
    <w:p>
      <w:pPr>
        <w:pStyle w:val="25"/>
      </w:pPr>
      <w:r>
        <w:t>10、负责全县广播电视管理工作。负责对全县各类广播电视机构进行业务指导和行业监管，指导、监管全县广播电视安全播出和广告播放，指导全县电视剧行业发展和电视剧创作生产，组织实施全县广播电视公共服务公益工程和公益活动。</w:t>
      </w:r>
    </w:p>
    <w:p>
      <w:pPr>
        <w:pStyle w:val="25"/>
      </w:pPr>
      <w:r>
        <w:t>11、负责全县文物保护和管理工作。组织文物资源资产普查、登记、评估工作，管理和指导全县考古、文物修缮工作，推动完善全县文物和博物馆公共服务体系建设，指导业务工作。</w:t>
      </w:r>
    </w:p>
    <w:p>
      <w:pPr>
        <w:pStyle w:val="25"/>
      </w:pPr>
      <w:r>
        <w:t>12、指导全县文化市场综合执法。指导、监督全县文化市场综合执法工作，组织查处全县性、跨区域文化、文物、出版、广播电视、电影、旅游等市场的违法行为,维护市场秩序。</w:t>
      </w:r>
    </w:p>
    <w:p>
      <w:pPr>
        <w:pStyle w:val="25"/>
      </w:pPr>
      <w:r>
        <w:t>13、指导、管理全县文化和旅游、广播电视、文物对外及对港澳台交流、合作和宣传推广工作。组织相关领域对外及对港澳台交流活动，推动中华文化和本地特色文化走出去。</w:t>
      </w:r>
    </w:p>
    <w:p>
      <w:pPr>
        <w:pStyle w:val="25"/>
      </w:pPr>
      <w:r>
        <w:t>14、落实行业主管部门的安全生产监管职责，各股室落实各自分管领域的安全生产监管职责。</w:t>
      </w:r>
    </w:p>
    <w:p>
      <w:pPr>
        <w:pStyle w:val="25"/>
      </w:pPr>
      <w:r>
        <w:t>15、完成县委、县政府交办的其他任务。</w:t>
      </w:r>
    </w:p>
    <w:p>
      <w:pPr>
        <w:spacing w:before="0" w:after="0" w:line="240" w:lineRule="auto"/>
        <w:ind w:firstLine="640"/>
        <w:jc w:val="left"/>
        <w:outlineLvl w:val="9"/>
      </w:pPr>
      <w:r>
        <w:rPr>
          <w:rFonts w:ascii="方正楷体_GBK" w:eastAsia="方正楷体_GBK" w:cs="方正楷体_GBK" w:hAnsi="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hAnsi="方正小标宋_GBK"/>
          <w:color w:val="000000"/>
          <w:sz w:val="32"/>
        </w:rPr>
        <w:t>部门机构设置情况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昌黎县旅游和文化广电局本级</w:t>
            </w:r>
          </w:p>
        </w:tc>
        <w:tc>
          <w:tcPr>
            <w:tcW w:w="1843" w:type="dxa"/>
            <w:tcBorders>
              <w:top w:val="single" w:sz="6" w:space="0" w:color="000000"/>
              <w:left w:val="single" w:sz="6" w:space="0" w:color="000000"/>
              <w:right w:val="single" w:sz="6" w:space="0" w:color="000000"/>
            </w:tcBorders>
            <w:vAlign w:val="center"/>
          </w:tcPr>
          <w:p>
            <w:pPr>
              <w:pStyle w:val="21"/>
            </w:pPr>
            <w:r>
              <w:t>行政</w:t>
            </w:r>
          </w:p>
        </w:tc>
        <w:tc>
          <w:tcPr>
            <w:tcW w:w="2126" w:type="dxa"/>
            <w:tcBorders>
              <w:top w:val="single" w:sz="6" w:space="0" w:color="000000"/>
              <w:left w:val="single" w:sz="6" w:space="0" w:color="000000"/>
              <w:right w:val="single" w:sz="6" w:space="0" w:color="000000"/>
            </w:tcBorders>
            <w:vAlign w:val="center"/>
          </w:tcPr>
          <w:p>
            <w:pPr>
              <w:pStyle w:val="21"/>
            </w:pPr>
            <w:r>
              <w:t>正科级</w:t>
            </w:r>
          </w:p>
        </w:tc>
        <w:tc>
          <w:tcPr>
            <w:tcW w:w="3827" w:type="dxa"/>
            <w:vAlign w:val="center"/>
          </w:tcPr>
          <w:p>
            <w:pPr>
              <w:pStyle w:val="21"/>
            </w:pPr>
            <w:r>
              <w:t>财政拨款</w:t>
            </w:r>
          </w:p>
        </w:tc>
      </w:tr>
      <w:tr>
        <w:trPr>
          <w:trHeight w:val="369"/>
        </w:trPr>
        <w:tc>
          <w:tcPr>
            <w:tcW w:w="5669" w:type="dxa"/>
            <w:vAlign w:val="center"/>
          </w:tcPr>
          <w:p>
            <w:pPr>
              <w:pStyle w:val="20"/>
            </w:pPr>
            <w:r>
              <w:t>昌黎县文物研究保护所（昌黎县博物馆）</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股级</w:t>
            </w:r>
          </w:p>
        </w:tc>
        <w:tc>
          <w:tcPr>
            <w:tcW w:w="3827" w:type="dxa"/>
            <w:vAlign w:val="center"/>
          </w:tcPr>
          <w:p>
            <w:pPr>
              <w:pStyle w:val="21"/>
            </w:pPr>
            <w:r>
              <w:t>财政性资金基本保证</w:t>
            </w:r>
          </w:p>
        </w:tc>
      </w:tr>
      <w:tr>
        <w:trPr>
          <w:trHeight w:val="369"/>
        </w:trPr>
        <w:tc>
          <w:tcPr>
            <w:tcW w:w="5669" w:type="dxa"/>
            <w:vAlign w:val="center"/>
          </w:tcPr>
          <w:p>
            <w:pPr>
              <w:pStyle w:val="20"/>
            </w:pPr>
            <w:r>
              <w:t>昌黎县图书馆</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股级</w:t>
            </w:r>
          </w:p>
        </w:tc>
        <w:tc>
          <w:tcPr>
            <w:tcW w:w="3827" w:type="dxa"/>
            <w:vAlign w:val="center"/>
          </w:tcPr>
          <w:p>
            <w:pPr>
              <w:pStyle w:val="21"/>
            </w:pPr>
            <w:r>
              <w:t>财政性资金基本保证</w:t>
            </w:r>
          </w:p>
        </w:tc>
      </w:tr>
      <w:tr>
        <w:trPr>
          <w:trHeight w:val="369"/>
        </w:trPr>
        <w:tc>
          <w:tcPr>
            <w:tcW w:w="5669" w:type="dxa"/>
            <w:vAlign w:val="center"/>
          </w:tcPr>
          <w:p>
            <w:pPr>
              <w:pStyle w:val="20"/>
            </w:pPr>
            <w:r>
              <w:t>昌黎县文化馆</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股级</w:t>
            </w:r>
          </w:p>
        </w:tc>
        <w:tc>
          <w:tcPr>
            <w:tcW w:w="3827" w:type="dxa"/>
            <w:vAlign w:val="center"/>
          </w:tcPr>
          <w:p>
            <w:pPr>
              <w:pStyle w:val="21"/>
            </w:pPr>
            <w:r>
              <w:t>财政性资金基本保证</w:t>
            </w:r>
          </w:p>
        </w:tc>
      </w:tr>
      <w:tr>
        <w:trPr>
          <w:trHeight w:val="369"/>
        </w:trPr>
        <w:tc>
          <w:tcPr>
            <w:tcW w:w="5669" w:type="dxa"/>
            <w:vAlign w:val="center"/>
          </w:tcPr>
          <w:p>
            <w:pPr>
              <w:pStyle w:val="20"/>
            </w:pPr>
            <w:r>
              <w:t>昌黎县旅游和文化广电局(事业)</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正科级</w:t>
            </w:r>
          </w:p>
        </w:tc>
        <w:tc>
          <w:tcPr>
            <w:tcW w:w="3827" w:type="dxa"/>
            <w:vAlign w:val="center"/>
          </w:tcPr>
          <w:p>
            <w:pPr>
              <w:pStyle w:val="21"/>
            </w:pPr>
            <w:r>
              <w:t>财政性资金基本保证</w:t>
            </w:r>
          </w:p>
        </w:tc>
      </w:tr>
      <w:tr>
        <w:trPr>
          <w:trHeight w:val="369"/>
        </w:trPr>
        <w:tc>
          <w:tcPr>
            <w:tcW w:w="5669" w:type="dxa"/>
            <w:vAlign w:val="center"/>
          </w:tcPr>
          <w:p>
            <w:pPr>
              <w:pStyle w:val="20"/>
            </w:pPr>
            <w:r>
              <w:t>昌黎县艺术团</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股级</w:t>
            </w:r>
          </w:p>
        </w:tc>
        <w:tc>
          <w:tcPr>
            <w:tcW w:w="3827" w:type="dxa"/>
            <w:vAlign w:val="center"/>
          </w:tcPr>
          <w:p>
            <w:pPr>
              <w:pStyle w:val="21"/>
            </w:pPr>
            <w:r>
              <w:t>财政性资金基本保证</w:t>
            </w:r>
          </w:p>
        </w:tc>
      </w:tr>
    </w:tbl>
    <w:p>
      <w:pPr>
        <w:spacing w:before="10" w:after="10" w:line="360" w:lineRule="auto"/>
        <w:ind w:firstLine="640"/>
        <w:jc w:val="left"/>
        <w:outlineLvl w:val="2"/>
      </w:pPr>
      <w:bookmarkStart w:id="10" w:name="_Toc_3_3_0000000011"/>
      <w:r>
        <w:rPr>
          <w:rFonts w:ascii="黑体" w:eastAsia="黑体" w:cs="黑体" w:hAnsi="黑体"/>
          <w:color w:val="000000"/>
          <w:sz w:val="32"/>
        </w:rPr>
        <w:t>二、部门预算安排的总体情况</w:t>
      </w:r>
      <w:bookmarkEnd w:id="10"/>
    </w:p>
    <w:p>
      <w:pPr>
        <w:pStyle w:val="26"/>
      </w:pPr>
      <w:r>
        <w:t>按照预算管理有关规定，目前部门预算的编制实行综合预算管理，即全部收入和支出都反映在预算中。昌黎县旅游和文化广电局机关及所属事业单位的收支包含在部门预算中。</w:t>
      </w:r>
    </w:p>
    <w:p>
      <w:pPr>
        <w:pStyle w:val="26"/>
      </w:pPr>
      <w:r>
        <w:t>1、收入说明</w:t>
      </w:r>
    </w:p>
    <w:p>
      <w:pPr>
        <w:pStyle w:val="26"/>
      </w:pPr>
      <w:r>
        <w:t>反映本部门当年全部收入。2026年预算收入1926.63万元，其中：一般公共预算收入1725.89万元，基金预算收入0.00万元，国有资本经营预算收入0.00万元，财政专户核拨收入0.00万元，单位资金收入0.00万元，上年结转结余200.74万元。</w:t>
      </w:r>
    </w:p>
    <w:p>
      <w:pPr>
        <w:pStyle w:val="26"/>
      </w:pPr>
      <w:r>
        <w:t>2、支出说明</w:t>
      </w:r>
    </w:p>
    <w:p>
      <w:pPr>
        <w:pStyle w:val="26"/>
      </w:pPr>
      <w:r>
        <w:t>收支预算总表支出栏、基本支出表、项目支出表按经济分类和支出功能分类科目编制，反映昌黎县旅游和文化广电局年度部门预算中支出预算的总体情况。2026年支出预算1926.63万元，其中基本支出1138.77万元，包括人员经费1107.04万元和日常公用经费31.73万元；项目支出787.86万元，主要为免费开放资金、非物质文化遗产保护资金、公共文化服务体系建设资金以及文物保护相关资金；预计下年使用的单位资金结余0.00万元。委托业务费共计安排196.73万元，主要用于因技术原因确需对外委托的辅助性工作和确有必要对外委托开展咨询、评审、规划等工作。</w:t>
      </w:r>
    </w:p>
    <w:p>
      <w:pPr>
        <w:pStyle w:val="26"/>
      </w:pPr>
      <w:r>
        <w:t>3、比上年增减情况</w:t>
      </w:r>
    </w:p>
    <w:p>
      <w:pPr>
        <w:pStyle w:val="26"/>
      </w:pPr>
      <w:r>
        <w:t>2026年预算收支安排1926.63万元，较2025年预算增加111.77万元，其中：基本支出增加110.60万元，主要为因工作需要，本年度有新增人员，同时本年度养老保险、医疗保险、失业保险等缴费基数随工资增长同步上调。项目支出增加1.17万元，主要为深化预算绩效管理、优化资源配置，结合项目实施实际，将免费开放等经费调至具体项目实施单位有所减少，同时新增文物保护相关项目资金。预计下年使用的单位资金结余增加0.00万元。</w:t>
      </w:r>
    </w:p>
    <w:p>
      <w:pPr>
        <w:spacing w:before="10" w:after="10" w:line="360" w:lineRule="auto"/>
        <w:ind w:firstLine="640"/>
        <w:jc w:val="left"/>
        <w:outlineLvl w:val="2"/>
      </w:pPr>
      <w:bookmarkStart w:id="11" w:name="_Toc_3_3_0000000012"/>
      <w:r>
        <w:rPr>
          <w:rFonts w:ascii="黑体" w:eastAsia="黑体" w:cs="黑体" w:hAnsi="黑体"/>
          <w:color w:val="000000"/>
          <w:sz w:val="32"/>
        </w:rPr>
        <w:t>三、机关运行经费安排情况</w:t>
      </w:r>
      <w:bookmarkEnd w:id="11"/>
    </w:p>
    <w:p>
      <w:pPr>
        <w:pStyle w:val="27"/>
      </w:pPr>
      <w:r>
        <w:t>2026年，我部门机关运行经费共计安排31.73万元，主要用于日常维修、办公用房水电费、办公用房取暖费、办公用房物业管理费等日常运行支出。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eastAsia="黑体" w:cs="黑体" w:hAnsi="黑体"/>
          <w:color w:val="000000"/>
          <w:sz w:val="32"/>
        </w:rPr>
        <w:t>四、财政拨款“三公”经费预算情况及增减变化原因</w:t>
      </w:r>
      <w:bookmarkEnd w:id="12"/>
    </w:p>
    <w:p>
      <w:pPr>
        <w:pStyle w:val="28"/>
      </w:pPr>
      <w:r>
        <w:t>2026年，我部门财政拨款“三公”经费预算安排7.20万元，其中因公出国（境）费0.00万元；公务用车购置及运维费7.20万元（其中：公务用车购置费为0.00万元，公务用车运维费7.20万元)；公务接待费0.00万元。与2025年相比减少1.80万元，增减变化的主要原因是本年度我部门依规对1辆达到报废年限的公务用车办理报废手续，且结合工作实际需求，未新增购置公务用车计划，也未申请该车辆对应的购置及运行维护相关费用。</w:t>
      </w:r>
    </w:p>
    <w:p>
      <w:pPr>
        <w:spacing w:before="10" w:after="10" w:line="360" w:lineRule="auto"/>
        <w:ind w:firstLine="640"/>
        <w:jc w:val="left"/>
        <w:outlineLvl w:val="2"/>
      </w:pPr>
      <w:bookmarkStart w:id="13" w:name="_Toc_3_3_0000000014"/>
      <w:r>
        <w:rPr>
          <w:rFonts w:ascii="黑体" w:eastAsia="黑体" w:cs="黑体" w:hAnsi="黑体"/>
          <w:color w:val="000000"/>
          <w:sz w:val="32"/>
        </w:rPr>
        <w:t>五、部门整体绩效目标</w:t>
      </w:r>
      <w:bookmarkEnd w:id="13"/>
    </w:p>
    <w:p>
      <w:pPr>
        <w:spacing w:before="0" w:after="0" w:line="500" w:lineRule="exact"/>
        <w:ind w:firstLine="560"/>
        <w:jc w:val="left"/>
        <w:outlineLvl w:val="9"/>
      </w:pPr>
      <w:r>
        <w:rPr>
          <w:rFonts w:ascii="Times New Roman" w:eastAsia="方正仿宋_GBK" w:cs="Times New Roman" w:hAnsi="Times New Roman"/>
          <w:color w:val="000000"/>
          <w:sz w:val="28"/>
        </w:rPr>
        <w:t>（一）总体绩效目标</w:t>
      </w:r>
    </w:p>
    <w:p>
      <w:pPr>
        <w:pStyle w:val="29"/>
      </w:pPr>
      <w:r>
        <w:t>1.持续加大文旅市场综合执法力度，开展文化、文物、广播电视、出版、印刷、电影等文化和旅游市场各类安全专项检查工作，抓好元旦、春节、五一、十一等重大节假日及重要节点的巡查检查，重点治理和惩处扰乱旅游市场秩序的违法、违规及不正当经营行为，提升文化市场秩序群众满意度。</w:t>
      </w:r>
    </w:p>
    <w:p>
      <w:pPr>
        <w:pStyle w:val="29"/>
      </w:pPr>
      <w:r>
        <w:t>2.加强行业管理提升。提升旅游目的地消费环境，强化综合执法管理力度，加强安全行业管理，落实行业监管责任和企业主体责任。</w:t>
      </w:r>
    </w:p>
    <w:p>
      <w:pPr>
        <w:pStyle w:val="29"/>
      </w:pPr>
      <w:r>
        <w:t>3.聚焦文艺精品创作。以碣石文化、葡萄酒文化、红色资源为核心，推出1-2部反映昌黎地域特色的文艺作品，创一批相关短视频、书画摄影作品。融合昌黎民歌、地秧歌与现代艺术，打造非遗节目。</w:t>
      </w:r>
    </w:p>
    <w:p>
      <w:pPr>
        <w:pStyle w:val="29"/>
      </w:pPr>
      <w:r>
        <w:t>4.加强文化遗产保护与传承。持续推进“民间艺术进校园”，开展“文化和自然遗产日”非遗展演等活动，持续推进第四次文物普查，完成普查成果的认定、公布及总结验收，完成馆藏可移动文物的档案，提升博物馆接待水平。</w:t>
      </w:r>
    </w:p>
    <w:p>
      <w:pPr>
        <w:pStyle w:val="29"/>
      </w:pPr>
      <w:r>
        <w:t>5.优化文旅公共服务水平。聚焦公共文化服务高质量发展，不断完善基础设施建设，健全覆盖城乡的三级公共文化服务网络，强化文图两馆分馆资源共享与业务联动，完善黄金海岸、碣石山等景区的游客中心、交通标识。开展常态化基层演出，持续开展“四季村晚”“彩色周末”等演出不少于135场。结合节庆节点开展非遗展演、民俗展示等特色活动。</w:t>
      </w:r>
    </w:p>
    <w:p>
      <w:pPr>
        <w:pStyle w:val="29"/>
      </w:pPr>
      <w:r>
        <w:t>6.丰富新项目新业态，构建精准营销矩阵。整合资源，谋划推动碣石山综合开发项目、葡萄小镇等重点文旅项目建设。坚持市场导向，创新载体，构建“互联网+”营销体系，拓展京津冀客源市场，利用新媒体平台开展宣传，推出惠民措施，提升“这么近，那么美，周末到河北”的影响力、知名度。</w:t>
      </w:r>
    </w:p>
    <w:p>
      <w:pPr>
        <w:spacing w:before="0" w:after="0" w:line="500" w:lineRule="exact"/>
        <w:ind w:firstLine="560"/>
        <w:jc w:val="left"/>
        <w:outlineLvl w:val="9"/>
      </w:pPr>
      <w:r>
        <w:rPr>
          <w:rFonts w:ascii="Times New Roman" w:eastAsia="方正仿宋_GBK" w:cs="Times New Roman" w:hAnsi="Times New Roman"/>
          <w:color w:val="000000"/>
          <w:sz w:val="28"/>
        </w:rPr>
        <w:t>（二）分项绩效目标</w:t>
      </w:r>
    </w:p>
    <w:p>
      <w:pPr>
        <w:pStyle w:val="30"/>
      </w:pPr>
      <w:r>
        <w:t>1.文化市场管理</w:t>
      </w:r>
    </w:p>
    <w:p>
      <w:pPr>
        <w:pStyle w:val="30"/>
      </w:pPr>
      <w:r>
        <w:t>绩效目标：加强执法规范化建设和队伍素质建设。</w:t>
      </w:r>
    </w:p>
    <w:p>
      <w:pPr>
        <w:pStyle w:val="30"/>
      </w:pPr>
      <w:r>
        <w:t>绩效指标：持续开展文化和旅游市场各类安全专项检查工作，重点治理和惩处扰乱旅游市场秩序的违法、违规及不正当经营行为，提升文化市场秩序群众满意度。</w:t>
      </w:r>
    </w:p>
    <w:p>
      <w:pPr>
        <w:pStyle w:val="30"/>
      </w:pPr>
      <w:r>
        <w:t>2.文化宣传交流</w:t>
      </w:r>
    </w:p>
    <w:p>
      <w:pPr>
        <w:pStyle w:val="30"/>
      </w:pPr>
      <w:r>
        <w:t>绩效目标：围绕“这么近、那么美，周末到河北”主题，精心创排具有地方特色的文艺精品，多出好的素材和作品，宣传推介我县文化艺术资源，提升对外交流水平。</w:t>
      </w:r>
    </w:p>
    <w:p>
      <w:pPr>
        <w:pStyle w:val="30"/>
      </w:pPr>
      <w:r>
        <w:t>绩效指标：增加景区知名度、美誉度，使其提升达到10%以上。</w:t>
      </w:r>
    </w:p>
    <w:p>
      <w:pPr>
        <w:pStyle w:val="30"/>
      </w:pPr>
      <w:r>
        <w:t>3.文物保护</w:t>
      </w:r>
    </w:p>
    <w:p>
      <w:pPr>
        <w:pStyle w:val="30"/>
      </w:pPr>
      <w:r>
        <w:t>绩效目标：加强文物保护、研究、利用，发挥博物馆的公共服务作用，传承和弘扬昌黎历史文化。</w:t>
      </w:r>
    </w:p>
    <w:p>
      <w:pPr>
        <w:pStyle w:val="30"/>
      </w:pPr>
      <w:r>
        <w:t>绩效指标：开展文物保护宣传活动，活化文物保护研究，确保文物得到有效利用</w:t>
      </w:r>
    </w:p>
    <w:p>
      <w:pPr>
        <w:pStyle w:val="30"/>
      </w:pPr>
      <w:r>
        <w:t>4.公共文化服务体系建设</w:t>
      </w:r>
    </w:p>
    <w:p>
      <w:pPr>
        <w:pStyle w:val="30"/>
      </w:pPr>
      <w:r>
        <w:t>绩效目标：积极组织开展文化惠民演出，做好文、图两馆免费开放工作，提升免费开放服务效能。</w:t>
      </w:r>
    </w:p>
    <w:p>
      <w:pPr>
        <w:pStyle w:val="30"/>
      </w:pPr>
      <w:r>
        <w:t>绩效指标：积极组织开展群众文化活动，提升免费开放服务效能，考评观众留言、民意调查情况，免费开放满意度的比例达到90%以上，惠及人次达10万人以上。</w:t>
      </w:r>
    </w:p>
    <w:p>
      <w:pPr>
        <w:pStyle w:val="30"/>
      </w:pPr>
      <w:r>
        <w:t>5.旅游宣传</w:t>
      </w:r>
    </w:p>
    <w:p>
      <w:pPr>
        <w:pStyle w:val="30"/>
      </w:pPr>
      <w:r>
        <w:t>绩效目标：借力京津冀协同发展，围绕“这么近、那么美，周末到河北”主题，加大宣传力度，加强与其他地区交流合作，不断探索全域旅游示范区创建新模式，开展旅游景区整改提升，加快旅游业转型升级。</w:t>
      </w:r>
    </w:p>
    <w:p>
      <w:pPr>
        <w:pStyle w:val="30"/>
      </w:pPr>
      <w:r>
        <w:t>绩效指标：扩大昌黎旅游品牌形象的影响力，吸引更多游客来昌黎旅游观光，使游客增长率提升10%及以上。</w:t>
      </w:r>
    </w:p>
    <w:p>
      <w:pPr>
        <w:spacing w:before="0" w:after="0" w:line="500" w:lineRule="exact"/>
        <w:ind w:firstLine="560"/>
        <w:jc w:val="left"/>
        <w:outlineLvl w:val="9"/>
      </w:pPr>
      <w:r>
        <w:rPr>
          <w:rFonts w:ascii="Times New Roman" w:eastAsia="方正仿宋_GBK" w:cs="Times New Roman" w:hAnsi="Times New Roman"/>
          <w:color w:val="000000"/>
          <w:sz w:val="28"/>
        </w:rPr>
        <w:t>（三）工作保障措施</w:t>
      </w:r>
    </w:p>
    <w:p>
      <w:pPr>
        <w:pStyle w:val="31"/>
      </w:pPr>
      <w:r>
        <w:t>1.完善制度建设。制定完善预算绩效管理制度、资金管理办法、工作保障制度等内控管理办法，为全年预算绩效目标的实现奠定制度基础。</w:t>
      </w:r>
    </w:p>
    <w:p>
      <w:pPr>
        <w:pStyle w:val="31"/>
      </w:pPr>
      <w:r>
        <w:t>2.加强支出管理。通过优化支出结构、编细编实预算、尽快启动项目、及时支付资金、按规定及时下达资金等多种措施，确保支出进度达标。</w:t>
      </w:r>
    </w:p>
    <w:p>
      <w:pPr>
        <w:pStyle w:val="31"/>
      </w:pPr>
      <w:r>
        <w:t>3.加强绩效运行监控。按要求开展绩效运行监控，发现问题及时采取措施，确保绩效目标如期保质实现。</w:t>
      </w:r>
    </w:p>
    <w:p>
      <w:pPr>
        <w:pStyle w:val="31"/>
      </w:pPr>
      <w:r>
        <w:t>4.做好绩效自评。按要求开展上年度部门预算绩效自评和重点评价工作，对评价中发现的问题及时整改，调整优化支出结构，提高财政资金使用效益。</w:t>
      </w:r>
    </w:p>
    <w:p>
      <w:pPr>
        <w:pStyle w:val="31"/>
      </w:pPr>
      <w:r>
        <w:t>5.规范财务资产管理。完善财务管理制度，严格审批程序，加强固定资产登记、使用和报废处置管理，做到支出合理，物尽其用。</w:t>
      </w:r>
    </w:p>
    <w:p>
      <w:pPr>
        <w:pStyle w:val="31"/>
      </w:pPr>
      <w:r>
        <w:t>6.加强内部监督。加强内部监督制度建设，对绩效运行情况、重大支出决策、资产处置及其他重要事项的决策和执行进行督导，配合做好审计、财政监督等外部监督工作，确保财政资金安全有效。</w:t>
      </w:r>
    </w:p>
    <w:p>
      <w:pPr>
        <w:pStyle w:val="31"/>
      </w:pPr>
      <w:r>
        <w:t>7.加强宣传培训调研。加强人员培训，提高职工业务素质；优化财政资金配置、提高资金使用效益；强化预算绩效管理意识，促进预算绩效管理水平进一步提升。</w:t>
      </w:r>
    </w:p>
    <w:p>
      <w:pPr>
        <w:pStyle w:val="31"/>
      </w:pPr>
      <w:r>
        <w:t>8.坚持厉行节约。坚持厉行节约，反对铺张浪费，科学规范分配财政资金，提高财政资金使用效益，建设节约型机关。</w:t>
      </w:r>
    </w:p>
    <w:p>
      <w:pPr>
        <w:pStyle w:val="31"/>
      </w:pPr>
      <w:r>
        <w:t>9.扎实开展监督工作。继续加强执法规范化建设和队伍素质建设，从严查处文化市场各类违规经营行为，深入推进农村文化演出市场专项整治，加强旅游标准化建设，推动经济高质量发展，提升社会治理能力。</w:t>
      </w:r>
    </w:p>
    <w:p>
      <w:pPr>
        <w:pStyle w:val="31"/>
      </w:pPr>
      <w:r>
        <w:t>10.保障职工依法履职。通过组织职工学习、培训、调研，提升个人履职能力，坚持用理论武装头脑，立足惠民，狠抓公共服务。</w:t>
      </w:r>
    </w:p>
    <w:p>
      <w:pPr>
        <w:pStyle w:val="31"/>
        <w:sectPr>
          <w:pgSz w:w="16840" w:h="11900" w:orient="landscape"/>
          <w:pgMar w:top="1361" w:right="1020" w:bottom="1361" w:left="1020" w:header="720" w:footer="720" w:gutter="0"/>
          <w:docGrid w:linePitch="326" w:charSpace="0"/>
        </w:sectPr>
      </w:pPr>
      <w:r>
        <w:t>11.加强职工自身建设。深入开展法律知识、监督方式方法专题学习研讨，提高理论素养、创新活力。通过举办主题党日、建党周年书画展、扶贫脱贫等工作锤炼机关干部作风。</w:t>
      </w:r>
    </w:p>
    <w:p>
      <w:pPr>
        <w:spacing w:before="10" w:after="10" w:line="360" w:lineRule="auto"/>
        <w:ind w:firstLine="640"/>
        <w:jc w:val="left"/>
        <w:outlineLvl w:val="2"/>
        <w:rPr>
          <w:rFonts w:ascii="黑体" w:eastAsia="黑体" w:cs="黑体" w:hAnsi="黑体"/>
          <w:color w:val="000000"/>
          <w:sz w:val="32"/>
        </w:rPr>
      </w:pPr>
      <w:bookmarkStart w:id="14" w:name="_Toc_3_3_0000000015"/>
      <w:r>
        <w:rPr>
          <w:rFonts w:ascii="黑体" w:eastAsia="黑体" w:cs="黑体" w:hAnsi="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docGrid w:linePitch="326" w:charSpace="0"/>
        </w:sectPr>
      </w:pPr>
      <w:r>
        <w:rPr>
          <w:rFonts w:ascii="黑体" w:eastAsia="黑体" w:cs="黑体" w:hAnsi="黑体"/>
          <w:color w:val="000000"/>
          <w:sz w:val="32"/>
        </w:rPr>
        <w:t>无</w:t>
      </w:r>
      <w:bookmarkStart w:id="15" w:name="_GoBack"/>
      <w:bookmarkEnd w:id="15"/>
    </w:p>
    <w:p>
      <w:pPr>
        <w:spacing w:before="10" w:after="10" w:line="360" w:lineRule="auto"/>
        <w:ind w:firstLine="640"/>
        <w:jc w:val="left"/>
        <w:outlineLvl w:val="2"/>
        <w:sectPr>
          <w:pgSz w:w="16840" w:h="11900" w:orient="landscape"/>
          <w:pgMar w:top="1361" w:right="1020" w:bottom="1134" w:left="1020" w:header="720" w:footer="720" w:gutter="0"/>
          <w:docGrid w:linePitch="326" w:charSpace="0"/>
        </w:sectPr>
      </w:pPr>
      <w:bookmarkStart w:id="16" w:name="_Toc_3_3_0000000016"/>
      <w:r>
        <w:rPr>
          <w:rFonts w:ascii="黑体" w:eastAsia="黑体" w:cs="黑体" w:hAnsi="黑体"/>
          <w:color w:val="000000"/>
          <w:sz w:val="32"/>
        </w:rPr>
        <w:t>七、部门项目预算安排情况及绩效目标</w:t>
      </w:r>
      <w:bookmarkEnd w:id="16"/>
    </w:p>
    <w:p>
      <w:pPr>
        <w:spacing w:before="0" w:after="0"/>
        <w:ind w:firstLine="560"/>
        <w:jc w:val="left"/>
        <w:outlineLvl w:val="9"/>
      </w:pPr>
      <w:r>
        <w:rPr>
          <w:rFonts w:ascii="方正仿宋_GBK" w:eastAsia="方正仿宋_GBK" w:cs="方正仿宋_GBK" w:hAnsi="方正仿宋_GBK"/>
          <w:color w:val="000000"/>
          <w:sz w:val="28"/>
        </w:rPr>
        <w:t>1、保安服务费绩效目标表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13032226P002333100854</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保安服务费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11.88</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11.88</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需按照各单位不同需求，采取巡逻、门卫等形式，为聘用单位提供保卫安全的相关服务，特别是要加强对夜间、节假日期间巡查力度，确保安全。</w:t>
              <w:tab/>
              <w:tab/>
              <w:tab/>
              <w:tab/>
              <w:tab/>
              <w:tab/>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1.需按照各单位不同需求，采取巡逻、门卫等形式，为聘用单位提供保卫安全的相关服务，特别是要加强对夜间、节假日期间巡查力度，确保安全。</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保安人员的数量</w:t>
            </w:r>
          </w:p>
        </w:tc>
        <w:tc>
          <w:tcPr>
            <w:tcW w:w="5386" w:type="dxa"/>
            <w:tcBorders>
              <w:top w:val="single" w:sz="6" w:space="0" w:color="000000"/>
              <w:left w:val="single" w:sz="6" w:space="0" w:color="000000"/>
              <w:right w:val="single" w:sz="6" w:space="0" w:color="000000"/>
            </w:tcBorders>
            <w:vAlign w:val="center"/>
          </w:tcPr>
          <w:p>
            <w:pPr>
              <w:pStyle w:val="20"/>
            </w:pPr>
            <w:r>
              <w:t>聘用保安人员的数量</w:t>
            </w:r>
          </w:p>
        </w:tc>
        <w:tc>
          <w:tcPr>
            <w:tcW w:w="2268" w:type="dxa"/>
            <w:tcBorders>
              <w:top w:val="single" w:sz="6" w:space="0" w:color="000000"/>
              <w:left w:val="single" w:sz="6" w:space="0" w:color="000000"/>
              <w:right w:val="single" w:sz="6" w:space="0" w:color="000000"/>
            </w:tcBorders>
            <w:vAlign w:val="center"/>
          </w:tcPr>
          <w:p>
            <w:pPr>
              <w:pStyle w:val="20"/>
            </w:pPr>
            <w:r>
              <w:t>≤4名</w:t>
            </w:r>
          </w:p>
        </w:tc>
        <w:tc>
          <w:tcPr>
            <w:tcW w:w="1276" w:type="dxa"/>
            <w:vAlign w:val="center"/>
          </w:tcPr>
          <w:p>
            <w:pPr>
              <w:pStyle w:val="20"/>
            </w:pPr>
            <w:r>
              <w:t>《保安服务管理条例》和保安合同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人员经费到位率</w:t>
            </w:r>
          </w:p>
        </w:tc>
        <w:tc>
          <w:tcPr>
            <w:tcW w:w="5386" w:type="dxa"/>
            <w:tcBorders>
              <w:top w:val="single" w:sz="6" w:space="0" w:color="000000"/>
              <w:left w:val="single" w:sz="6" w:space="0" w:color="000000"/>
              <w:right w:val="single" w:sz="6" w:space="0" w:color="000000"/>
            </w:tcBorders>
            <w:vAlign w:val="center"/>
          </w:tcPr>
          <w:p>
            <w:pPr>
              <w:pStyle w:val="20"/>
            </w:pPr>
            <w:r>
              <w:t>人员经费到位资金的比例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《保安服务管理条例》和保安合同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支付及时率</w:t>
            </w:r>
          </w:p>
        </w:tc>
        <w:tc>
          <w:tcPr>
            <w:tcW w:w="5386" w:type="dxa"/>
            <w:tcBorders>
              <w:top w:val="single" w:sz="6" w:space="0" w:color="000000"/>
              <w:left w:val="single" w:sz="6" w:space="0" w:color="000000"/>
              <w:right w:val="single" w:sz="6" w:space="0" w:color="000000"/>
            </w:tcBorders>
            <w:vAlign w:val="center"/>
          </w:tcPr>
          <w:p>
            <w:pPr>
              <w:pStyle w:val="20"/>
            </w:pPr>
            <w:r>
              <w:t>经费支付及时率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《保安服务管理条例》和保安合同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控制成本</w:t>
            </w:r>
          </w:p>
        </w:tc>
        <w:tc>
          <w:tcPr>
            <w:tcW w:w="5386" w:type="dxa"/>
            <w:tcBorders>
              <w:top w:val="single" w:sz="6" w:space="0" w:color="000000"/>
              <w:left w:val="single" w:sz="6" w:space="0" w:color="000000"/>
              <w:right w:val="single" w:sz="6" w:space="0" w:color="000000"/>
            </w:tcBorders>
            <w:vAlign w:val="center"/>
          </w:tcPr>
          <w:p>
            <w:pPr>
              <w:pStyle w:val="20"/>
            </w:pPr>
            <w:r>
              <w:t>2025年全年费用</w:t>
            </w:r>
          </w:p>
        </w:tc>
        <w:tc>
          <w:tcPr>
            <w:tcW w:w="2268" w:type="dxa"/>
            <w:tcBorders>
              <w:top w:val="single" w:sz="6" w:space="0" w:color="000000"/>
              <w:left w:val="single" w:sz="6" w:space="0" w:color="000000"/>
              <w:right w:val="single" w:sz="6" w:space="0" w:color="000000"/>
            </w:tcBorders>
            <w:vAlign w:val="center"/>
          </w:tcPr>
          <w:p>
            <w:pPr>
              <w:pStyle w:val="20"/>
            </w:pPr>
            <w:r>
              <w:t>≤11.88万元</w:t>
            </w:r>
          </w:p>
        </w:tc>
        <w:tc>
          <w:tcPr>
            <w:tcW w:w="1276" w:type="dxa"/>
            <w:vAlign w:val="center"/>
          </w:tcPr>
          <w:p>
            <w:pPr>
              <w:pStyle w:val="20"/>
            </w:pPr>
            <w:r>
              <w:t>《保安服务管理条例》和保安合同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提高财政资金的使用效率</w:t>
            </w:r>
          </w:p>
        </w:tc>
        <w:tc>
          <w:tcPr>
            <w:tcW w:w="5386" w:type="dxa"/>
            <w:tcBorders>
              <w:top w:val="single" w:sz="6" w:space="0" w:color="000000"/>
              <w:left w:val="single" w:sz="6" w:space="0" w:color="000000"/>
              <w:right w:val="single" w:sz="6" w:space="0" w:color="000000"/>
            </w:tcBorders>
            <w:vAlign w:val="center"/>
          </w:tcPr>
          <w:p>
            <w:pPr>
              <w:pStyle w:val="20"/>
            </w:pPr>
            <w:r>
              <w:t>通过科学编制预算，严格遵守各项规章制度，提高财政资金的使用效率，做到节俭高效。</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《保安服务管理条例》和保安合同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突发情况处理效率</w:t>
            </w:r>
          </w:p>
        </w:tc>
        <w:tc>
          <w:tcPr>
            <w:tcW w:w="5386" w:type="dxa"/>
            <w:tcBorders>
              <w:top w:val="single" w:sz="6" w:space="0" w:color="000000"/>
              <w:left w:val="single" w:sz="6" w:space="0" w:color="000000"/>
              <w:right w:val="single" w:sz="6" w:space="0" w:color="000000"/>
            </w:tcBorders>
            <w:vAlign w:val="center"/>
          </w:tcPr>
          <w:p>
            <w:pPr>
              <w:pStyle w:val="20"/>
            </w:pPr>
            <w:r>
              <w:t>突发情况处理效率</w:t>
            </w:r>
          </w:p>
        </w:tc>
        <w:tc>
          <w:tcPr>
            <w:tcW w:w="2268" w:type="dxa"/>
            <w:tcBorders>
              <w:top w:val="single" w:sz="6" w:space="0" w:color="000000"/>
              <w:left w:val="single" w:sz="6" w:space="0" w:color="000000"/>
              <w:right w:val="single" w:sz="6" w:space="0" w:color="000000"/>
            </w:tcBorders>
            <w:vAlign w:val="center"/>
          </w:tcPr>
          <w:p>
            <w:pPr>
              <w:pStyle w:val="20"/>
            </w:pPr>
            <w:r>
              <w:t>≤24小时</w:t>
            </w:r>
          </w:p>
        </w:tc>
        <w:tc>
          <w:tcPr>
            <w:tcW w:w="1276" w:type="dxa"/>
            <w:vAlign w:val="center"/>
          </w:tcPr>
          <w:p>
            <w:pPr>
              <w:pStyle w:val="20"/>
            </w:pPr>
            <w:r>
              <w:t>《保安服务管理条例》和保安合同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w:t>
            </w:r>
          </w:p>
        </w:tc>
        <w:tc>
          <w:tcPr>
            <w:tcW w:w="5386" w:type="dxa"/>
            <w:tcBorders>
              <w:top w:val="single" w:sz="6" w:space="0" w:color="000000"/>
              <w:left w:val="single" w:sz="6" w:space="0" w:color="000000"/>
              <w:right w:val="single" w:sz="6" w:space="0" w:color="000000"/>
            </w:tcBorders>
            <w:vAlign w:val="center"/>
          </w:tcPr>
          <w:p>
            <w:pPr>
              <w:pStyle w:val="20"/>
            </w:pPr>
            <w:r>
              <w:t>厉行节约，降低能耗，实现绿色办公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《保安服务管理条例》和保安合同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业务工作可持续性</w:t>
            </w:r>
          </w:p>
        </w:tc>
        <w:tc>
          <w:tcPr>
            <w:tcW w:w="5386" w:type="dxa"/>
            <w:tcBorders>
              <w:top w:val="single" w:sz="6" w:space="0" w:color="000000"/>
              <w:left w:val="single" w:sz="6" w:space="0" w:color="000000"/>
              <w:right w:val="single" w:sz="6" w:space="0" w:color="000000"/>
            </w:tcBorders>
            <w:vAlign w:val="center"/>
          </w:tcPr>
          <w:p>
            <w:pPr>
              <w:pStyle w:val="20"/>
            </w:pPr>
            <w:r>
              <w:t>保障日常工作的有序运转年限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《保安服务管理条例》和保安合同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保安人员在执行职务时，要态度友好、专业，讲礼貌，严格遵守工作纪律，能达到聘用单位预期。</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通过问卷调查，满意和较满意的受益对象占全部调研对象的比例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type w:val="continuous"/>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2、冀财教[2024]107号关于提前下达2025年国家非物质文化遗产保护资金绩效目标表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13032225P00217610001N</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冀财教[2024]107号关于提前下达2025年国家非物质文化遗产保护资金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举办地秧歌展演活动，进一步扩大地秧歌的宣传力度；创编地秧歌新剧目，提高昌黎地秧歌的表演技艺</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1.举办地秧歌展演活动，进一步扩大地秧歌的宣传力度</w:t>
            </w:r>
          </w:p>
          <w:p>
            <w:pPr>
              <w:pStyle w:val="20"/>
            </w:pPr>
            <w:r>
              <w:t>2.创编地秧歌新剧目，提高昌黎地秧歌的表演技艺</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举办非遗展演活动</w:t>
            </w:r>
          </w:p>
        </w:tc>
        <w:tc>
          <w:tcPr>
            <w:tcW w:w="5386" w:type="dxa"/>
            <w:tcBorders>
              <w:top w:val="single" w:sz="6" w:space="0" w:color="000000"/>
              <w:left w:val="single" w:sz="6" w:space="0" w:color="000000"/>
              <w:right w:val="single" w:sz="6" w:space="0" w:color="000000"/>
            </w:tcBorders>
            <w:vAlign w:val="center"/>
          </w:tcPr>
          <w:p>
            <w:pPr>
              <w:pStyle w:val="20"/>
            </w:pPr>
            <w:r>
              <w:t>举办非遗展演活动场次</w:t>
            </w:r>
          </w:p>
        </w:tc>
        <w:tc>
          <w:tcPr>
            <w:tcW w:w="2268" w:type="dxa"/>
            <w:tcBorders>
              <w:top w:val="single" w:sz="6" w:space="0" w:color="000000"/>
              <w:left w:val="single" w:sz="6" w:space="0" w:color="000000"/>
              <w:right w:val="single" w:sz="6" w:space="0" w:color="000000"/>
            </w:tcBorders>
            <w:vAlign w:val="center"/>
          </w:tcPr>
          <w:p>
            <w:pPr>
              <w:pStyle w:val="20"/>
            </w:pPr>
            <w:r>
              <w:t>≥3场</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群众参与人次较上年增长率</w:t>
            </w:r>
          </w:p>
        </w:tc>
        <w:tc>
          <w:tcPr>
            <w:tcW w:w="5386" w:type="dxa"/>
            <w:tcBorders>
              <w:top w:val="single" w:sz="6" w:space="0" w:color="000000"/>
              <w:left w:val="single" w:sz="6" w:space="0" w:color="000000"/>
              <w:right w:val="single" w:sz="6" w:space="0" w:color="000000"/>
            </w:tcBorders>
            <w:vAlign w:val="center"/>
          </w:tcPr>
          <w:p>
            <w:pPr>
              <w:pStyle w:val="20"/>
            </w:pPr>
            <w:r>
              <w:t>群众参与人次较上年增长率</w:t>
            </w:r>
          </w:p>
        </w:tc>
        <w:tc>
          <w:tcPr>
            <w:tcW w:w="2268" w:type="dxa"/>
            <w:tcBorders>
              <w:top w:val="single" w:sz="6" w:space="0" w:color="000000"/>
              <w:left w:val="single" w:sz="6" w:space="0" w:color="000000"/>
              <w:right w:val="single" w:sz="6" w:space="0" w:color="000000"/>
            </w:tcBorders>
            <w:vAlign w:val="center"/>
          </w:tcPr>
          <w:p>
            <w:pPr>
              <w:pStyle w:val="20"/>
            </w:pPr>
            <w:r>
              <w:t>≥2%</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工作任务按时完成率</w:t>
            </w:r>
          </w:p>
        </w:tc>
        <w:tc>
          <w:tcPr>
            <w:tcW w:w="5386" w:type="dxa"/>
            <w:tcBorders>
              <w:top w:val="single" w:sz="6" w:space="0" w:color="000000"/>
              <w:left w:val="single" w:sz="6" w:space="0" w:color="000000"/>
              <w:right w:val="single" w:sz="6" w:space="0" w:color="000000"/>
            </w:tcBorders>
            <w:vAlign w:val="center"/>
          </w:tcPr>
          <w:p>
            <w:pPr>
              <w:pStyle w:val="20"/>
            </w:pPr>
            <w:r>
              <w:t>实际按时完成工作目标数量占目标工作数量的比例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控制成本</w:t>
            </w:r>
          </w:p>
        </w:tc>
        <w:tc>
          <w:tcPr>
            <w:tcW w:w="5386" w:type="dxa"/>
            <w:tcBorders>
              <w:top w:val="single" w:sz="6" w:space="0" w:color="000000"/>
              <w:left w:val="single" w:sz="6" w:space="0" w:color="000000"/>
              <w:right w:val="single" w:sz="6" w:space="0" w:color="000000"/>
            </w:tcBorders>
            <w:vAlign w:val="center"/>
          </w:tcPr>
          <w:p>
            <w:pPr>
              <w:pStyle w:val="20"/>
            </w:pPr>
            <w:r>
              <w:t>国家非物质文化遗产保护资金成本</w:t>
            </w:r>
          </w:p>
        </w:tc>
        <w:tc>
          <w:tcPr>
            <w:tcW w:w="2268" w:type="dxa"/>
            <w:tcBorders>
              <w:top w:val="single" w:sz="6" w:space="0" w:color="000000"/>
              <w:left w:val="single" w:sz="6" w:space="0" w:color="000000"/>
              <w:right w:val="single" w:sz="6" w:space="0" w:color="000000"/>
            </w:tcBorders>
            <w:vAlign w:val="center"/>
          </w:tcPr>
          <w:p>
            <w:pPr>
              <w:pStyle w:val="20"/>
            </w:pPr>
            <w:r>
              <w:t>≤15万元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提高财政资金使用效益</w:t>
            </w:r>
          </w:p>
        </w:tc>
        <w:tc>
          <w:tcPr>
            <w:tcW w:w="5386" w:type="dxa"/>
            <w:tcBorders>
              <w:top w:val="single" w:sz="6" w:space="0" w:color="000000"/>
              <w:left w:val="single" w:sz="6" w:space="0" w:color="000000"/>
              <w:right w:val="single" w:sz="6" w:space="0" w:color="000000"/>
            </w:tcBorders>
            <w:vAlign w:val="center"/>
          </w:tcPr>
          <w:p>
            <w:pPr>
              <w:pStyle w:val="20"/>
            </w:pPr>
            <w:r>
              <w:t>提高财政资金使用效益</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非遗宣传传播覆盖人群增长率</w:t>
            </w:r>
          </w:p>
        </w:tc>
        <w:tc>
          <w:tcPr>
            <w:tcW w:w="5386" w:type="dxa"/>
            <w:tcBorders>
              <w:top w:val="single" w:sz="6" w:space="0" w:color="000000"/>
              <w:left w:val="single" w:sz="6" w:space="0" w:color="000000"/>
              <w:right w:val="single" w:sz="6" w:space="0" w:color="000000"/>
            </w:tcBorders>
            <w:vAlign w:val="center"/>
          </w:tcPr>
          <w:p>
            <w:pPr>
              <w:pStyle w:val="20"/>
            </w:pPr>
            <w:r>
              <w:t>非遗宣传传播覆盖人群增长率</w:t>
            </w:r>
          </w:p>
        </w:tc>
        <w:tc>
          <w:tcPr>
            <w:tcW w:w="2268" w:type="dxa"/>
            <w:tcBorders>
              <w:top w:val="single" w:sz="6" w:space="0" w:color="000000"/>
              <w:left w:val="single" w:sz="6" w:space="0" w:color="000000"/>
              <w:right w:val="single" w:sz="6" w:space="0" w:color="000000"/>
            </w:tcBorders>
            <w:vAlign w:val="center"/>
          </w:tcPr>
          <w:p>
            <w:pPr>
              <w:pStyle w:val="20"/>
            </w:pPr>
            <w:r>
              <w:t>≥2%</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提倡生态环保</w:t>
            </w:r>
          </w:p>
        </w:tc>
        <w:tc>
          <w:tcPr>
            <w:tcW w:w="5386" w:type="dxa"/>
            <w:tcBorders>
              <w:top w:val="single" w:sz="6" w:space="0" w:color="000000"/>
              <w:left w:val="single" w:sz="6" w:space="0" w:color="000000"/>
              <w:right w:val="single" w:sz="6" w:space="0" w:color="000000"/>
            </w:tcBorders>
            <w:vAlign w:val="center"/>
          </w:tcPr>
          <w:p>
            <w:pPr>
              <w:pStyle w:val="20"/>
            </w:pPr>
            <w:r>
              <w:t>提倡生态环保</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对增强非遗保护传承氛围的影响</w:t>
            </w:r>
          </w:p>
        </w:tc>
        <w:tc>
          <w:tcPr>
            <w:tcW w:w="5386" w:type="dxa"/>
            <w:tcBorders>
              <w:top w:val="single" w:sz="6" w:space="0" w:color="000000"/>
              <w:left w:val="single" w:sz="6" w:space="0" w:color="000000"/>
              <w:right w:val="single" w:sz="6" w:space="0" w:color="000000"/>
            </w:tcBorders>
            <w:vAlign w:val="center"/>
          </w:tcPr>
          <w:p>
            <w:pPr>
              <w:pStyle w:val="20"/>
            </w:pPr>
            <w:r>
              <w:t>对增强非遗保护传承氛围的影响</w:t>
            </w:r>
          </w:p>
        </w:tc>
        <w:tc>
          <w:tcPr>
            <w:tcW w:w="2268" w:type="dxa"/>
            <w:tcBorders>
              <w:top w:val="single" w:sz="6" w:space="0" w:color="000000"/>
              <w:left w:val="single" w:sz="6" w:space="0" w:color="000000"/>
              <w:right w:val="single" w:sz="6" w:space="0" w:color="000000"/>
            </w:tcBorders>
            <w:vAlign w:val="center"/>
          </w:tcPr>
          <w:p>
            <w:pPr>
              <w:pStyle w:val="20"/>
            </w:pPr>
            <w:r>
              <w:t>长期</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现场观众满意度</w:t>
            </w:r>
          </w:p>
        </w:tc>
        <w:tc>
          <w:tcPr>
            <w:tcW w:w="5386" w:type="dxa"/>
            <w:tcBorders>
              <w:top w:val="single" w:sz="6" w:space="0" w:color="000000"/>
              <w:left w:val="single" w:sz="6" w:space="0" w:color="000000"/>
              <w:right w:val="single" w:sz="6" w:space="0" w:color="000000"/>
            </w:tcBorders>
            <w:vAlign w:val="center"/>
          </w:tcPr>
          <w:p>
            <w:pPr>
              <w:pStyle w:val="20"/>
            </w:pPr>
            <w:r>
              <w:t>非遗展演活动现场观众满意度</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3、冀财教[2024]113号关于提前下达2025年中央支持地方公共文化服务体系建设补助资金绩效目标表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13032225P00217710005T</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冀财教[2024]113号关于提前下达2025年中央支持地方公共文化服务体系建设补助资金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114.09</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114.09</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提升县乡村三级文化设施免费开放服务水平，开展群众文化活动，服务群众</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1.提升县乡村三级文化设施免费开放服务水平，开展群众文化活动，服务群众。</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惠民数量</w:t>
            </w:r>
          </w:p>
        </w:tc>
        <w:tc>
          <w:tcPr>
            <w:tcW w:w="5386" w:type="dxa"/>
            <w:tcBorders>
              <w:top w:val="single" w:sz="6" w:space="0" w:color="000000"/>
              <w:left w:val="single" w:sz="6" w:space="0" w:color="000000"/>
              <w:right w:val="single" w:sz="6" w:space="0" w:color="000000"/>
            </w:tcBorders>
            <w:vAlign w:val="center"/>
          </w:tcPr>
          <w:p>
            <w:pPr>
              <w:pStyle w:val="20"/>
            </w:pPr>
            <w:r>
              <w:t>惠及群众数量</w:t>
            </w:r>
          </w:p>
        </w:tc>
        <w:tc>
          <w:tcPr>
            <w:tcW w:w="2268" w:type="dxa"/>
            <w:tcBorders>
              <w:top w:val="single" w:sz="6" w:space="0" w:color="000000"/>
              <w:left w:val="single" w:sz="6" w:space="0" w:color="000000"/>
              <w:right w:val="single" w:sz="6" w:space="0" w:color="000000"/>
            </w:tcBorders>
            <w:vAlign w:val="center"/>
          </w:tcPr>
          <w:p>
            <w:pPr>
              <w:pStyle w:val="20"/>
            </w:pPr>
            <w:r>
              <w:t>≥12万人</w:t>
            </w:r>
          </w:p>
        </w:tc>
        <w:tc>
          <w:tcPr>
            <w:tcW w:w="1276" w:type="dxa"/>
            <w:vAlign w:val="center"/>
          </w:tcPr>
          <w:p>
            <w:pPr>
              <w:pStyle w:val="20"/>
            </w:pPr>
            <w:r>
              <w:t>《秦皇岛市基本公共服务实施标准（2021年）》</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服务群众人次较上年增长率</w:t>
            </w:r>
          </w:p>
        </w:tc>
        <w:tc>
          <w:tcPr>
            <w:tcW w:w="5386" w:type="dxa"/>
            <w:tcBorders>
              <w:top w:val="single" w:sz="6" w:space="0" w:color="000000"/>
              <w:left w:val="single" w:sz="6" w:space="0" w:color="000000"/>
              <w:right w:val="single" w:sz="6" w:space="0" w:color="000000"/>
            </w:tcBorders>
            <w:vAlign w:val="center"/>
          </w:tcPr>
          <w:p>
            <w:pPr>
              <w:pStyle w:val="20"/>
            </w:pPr>
            <w:r>
              <w:t>基层文化设施服务群众较上年增长人数占上年人数的比例</w:t>
            </w:r>
          </w:p>
        </w:tc>
        <w:tc>
          <w:tcPr>
            <w:tcW w:w="2268" w:type="dxa"/>
            <w:tcBorders>
              <w:top w:val="single" w:sz="6" w:space="0" w:color="000000"/>
              <w:left w:val="single" w:sz="6" w:space="0" w:color="000000"/>
              <w:right w:val="single" w:sz="6" w:space="0" w:color="000000"/>
            </w:tcBorders>
            <w:vAlign w:val="center"/>
          </w:tcPr>
          <w:p>
            <w:pPr>
              <w:pStyle w:val="20"/>
            </w:pPr>
            <w:r>
              <w:t>≥0.4%</w:t>
            </w:r>
          </w:p>
        </w:tc>
        <w:tc>
          <w:tcPr>
            <w:tcW w:w="1276" w:type="dxa"/>
            <w:vAlign w:val="center"/>
          </w:tcPr>
          <w:p>
            <w:pPr>
              <w:pStyle w:val="20"/>
            </w:pPr>
            <w:r>
              <w:t>《秦皇岛市基本公共服务实施标准（2021年）》</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工作任务按时完成率</w:t>
            </w:r>
          </w:p>
        </w:tc>
        <w:tc>
          <w:tcPr>
            <w:tcW w:w="5386" w:type="dxa"/>
            <w:tcBorders>
              <w:top w:val="single" w:sz="6" w:space="0" w:color="000000"/>
              <w:left w:val="single" w:sz="6" w:space="0" w:color="000000"/>
              <w:right w:val="single" w:sz="6" w:space="0" w:color="000000"/>
            </w:tcBorders>
            <w:vAlign w:val="center"/>
          </w:tcPr>
          <w:p>
            <w:pPr>
              <w:pStyle w:val="20"/>
            </w:pPr>
            <w:r>
              <w:t>实际按时完成工作目标数量占目标工作数量的比例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《秦皇岛市基本公共服务实施标准（2021年）》</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公共文化服务体系建设资金</w:t>
            </w:r>
          </w:p>
        </w:tc>
        <w:tc>
          <w:tcPr>
            <w:tcW w:w="5386" w:type="dxa"/>
            <w:tcBorders>
              <w:top w:val="single" w:sz="6" w:space="0" w:color="000000"/>
              <w:left w:val="single" w:sz="6" w:space="0" w:color="000000"/>
              <w:right w:val="single" w:sz="6" w:space="0" w:color="000000"/>
            </w:tcBorders>
            <w:vAlign w:val="center"/>
          </w:tcPr>
          <w:p>
            <w:pPr>
              <w:pStyle w:val="20"/>
            </w:pPr>
            <w:r>
              <w:t>降低公共文化服务体系建设资金成本</w:t>
            </w:r>
          </w:p>
        </w:tc>
        <w:tc>
          <w:tcPr>
            <w:tcW w:w="2268" w:type="dxa"/>
            <w:tcBorders>
              <w:top w:val="single" w:sz="6" w:space="0" w:color="000000"/>
              <w:left w:val="single" w:sz="6" w:space="0" w:color="000000"/>
              <w:right w:val="single" w:sz="6" w:space="0" w:color="000000"/>
            </w:tcBorders>
            <w:vAlign w:val="center"/>
          </w:tcPr>
          <w:p>
            <w:pPr>
              <w:pStyle w:val="20"/>
            </w:pPr>
            <w:r>
              <w:t>≤228.29万元</w:t>
            </w:r>
          </w:p>
        </w:tc>
        <w:tc>
          <w:tcPr>
            <w:tcW w:w="1276" w:type="dxa"/>
            <w:vAlign w:val="center"/>
          </w:tcPr>
          <w:p>
            <w:pPr>
              <w:pStyle w:val="20"/>
            </w:pPr>
            <w:r>
              <w:t>《秦皇岛市基本公共服务实施标准（2021年）》</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带动其他相关消费项目增收情况</w:t>
            </w:r>
          </w:p>
        </w:tc>
        <w:tc>
          <w:tcPr>
            <w:tcW w:w="5386" w:type="dxa"/>
            <w:tcBorders>
              <w:top w:val="single" w:sz="6" w:space="0" w:color="000000"/>
              <w:left w:val="single" w:sz="6" w:space="0" w:color="000000"/>
              <w:right w:val="single" w:sz="6" w:space="0" w:color="000000"/>
            </w:tcBorders>
            <w:vAlign w:val="center"/>
          </w:tcPr>
          <w:p>
            <w:pPr>
              <w:pStyle w:val="20"/>
            </w:pPr>
            <w:r>
              <w:t>带动其他相关消费项目增收资金数</w:t>
            </w:r>
          </w:p>
        </w:tc>
        <w:tc>
          <w:tcPr>
            <w:tcW w:w="2268" w:type="dxa"/>
            <w:tcBorders>
              <w:top w:val="single" w:sz="6" w:space="0" w:color="000000"/>
              <w:left w:val="single" w:sz="6" w:space="0" w:color="000000"/>
              <w:right w:val="single" w:sz="6" w:space="0" w:color="000000"/>
            </w:tcBorders>
            <w:vAlign w:val="center"/>
          </w:tcPr>
          <w:p>
            <w:pPr>
              <w:pStyle w:val="20"/>
            </w:pPr>
            <w:r>
              <w:t>≥12万元</w:t>
            </w:r>
          </w:p>
        </w:tc>
        <w:tc>
          <w:tcPr>
            <w:tcW w:w="1276" w:type="dxa"/>
            <w:vAlign w:val="center"/>
          </w:tcPr>
          <w:p>
            <w:pPr>
              <w:pStyle w:val="20"/>
            </w:pPr>
            <w:r>
              <w:t>《秦皇岛市基本公共服务实施标准（2021年）》</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举办文化活动较上年增长率</w:t>
            </w:r>
          </w:p>
        </w:tc>
        <w:tc>
          <w:tcPr>
            <w:tcW w:w="5386" w:type="dxa"/>
            <w:tcBorders>
              <w:top w:val="single" w:sz="6" w:space="0" w:color="000000"/>
              <w:left w:val="single" w:sz="6" w:space="0" w:color="000000"/>
              <w:right w:val="single" w:sz="6" w:space="0" w:color="000000"/>
            </w:tcBorders>
            <w:vAlign w:val="center"/>
          </w:tcPr>
          <w:p>
            <w:pPr>
              <w:pStyle w:val="20"/>
            </w:pPr>
            <w:r>
              <w:t>2025年文化活动数量比2024年增加的数量占2024年文化活动数量的比例</w:t>
            </w:r>
          </w:p>
        </w:tc>
        <w:tc>
          <w:tcPr>
            <w:tcW w:w="2268" w:type="dxa"/>
            <w:tcBorders>
              <w:top w:val="single" w:sz="6" w:space="0" w:color="000000"/>
              <w:left w:val="single" w:sz="6" w:space="0" w:color="000000"/>
              <w:right w:val="single" w:sz="6" w:space="0" w:color="000000"/>
            </w:tcBorders>
            <w:vAlign w:val="center"/>
          </w:tcPr>
          <w:p>
            <w:pPr>
              <w:pStyle w:val="20"/>
            </w:pPr>
            <w:r>
              <w:t>≥2.5%</w:t>
            </w:r>
          </w:p>
        </w:tc>
        <w:tc>
          <w:tcPr>
            <w:tcW w:w="1276" w:type="dxa"/>
            <w:vAlign w:val="center"/>
          </w:tcPr>
          <w:p>
            <w:pPr>
              <w:pStyle w:val="20"/>
            </w:pPr>
            <w:r>
              <w:t>《秦皇岛市基本公共服务实施标准（2021年）》</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节约能源</w:t>
            </w:r>
          </w:p>
        </w:tc>
        <w:tc>
          <w:tcPr>
            <w:tcW w:w="5386" w:type="dxa"/>
            <w:tcBorders>
              <w:top w:val="single" w:sz="6" w:space="0" w:color="000000"/>
              <w:left w:val="single" w:sz="6" w:space="0" w:color="000000"/>
              <w:right w:val="single" w:sz="6" w:space="0" w:color="000000"/>
            </w:tcBorders>
            <w:vAlign w:val="center"/>
          </w:tcPr>
          <w:p>
            <w:pPr>
              <w:pStyle w:val="20"/>
            </w:pPr>
            <w:r>
              <w:t>降低耗能，绿色办公</w:t>
            </w:r>
          </w:p>
        </w:tc>
        <w:tc>
          <w:tcPr>
            <w:tcW w:w="2268" w:type="dxa"/>
            <w:tcBorders>
              <w:top w:val="single" w:sz="6" w:space="0" w:color="000000"/>
              <w:left w:val="single" w:sz="6" w:space="0" w:color="000000"/>
              <w:right w:val="single" w:sz="6" w:space="0" w:color="000000"/>
            </w:tcBorders>
            <w:vAlign w:val="center"/>
          </w:tcPr>
          <w:p>
            <w:pPr>
              <w:pStyle w:val="20"/>
            </w:pPr>
            <w:r>
              <w:t>较上年节约</w:t>
            </w:r>
          </w:p>
        </w:tc>
        <w:tc>
          <w:tcPr>
            <w:tcW w:w="1276" w:type="dxa"/>
            <w:vAlign w:val="center"/>
          </w:tcPr>
          <w:p>
            <w:pPr>
              <w:pStyle w:val="20"/>
            </w:pPr>
            <w:r>
              <w:t>《秦皇岛市基本公共服务实施标准（2021年）》</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免费开放文化场馆（站）的可持续影响</w:t>
            </w:r>
          </w:p>
        </w:tc>
        <w:tc>
          <w:tcPr>
            <w:tcW w:w="5386" w:type="dxa"/>
            <w:tcBorders>
              <w:top w:val="single" w:sz="6" w:space="0" w:color="000000"/>
              <w:left w:val="single" w:sz="6" w:space="0" w:color="000000"/>
              <w:right w:val="single" w:sz="6" w:space="0" w:color="000000"/>
            </w:tcBorders>
            <w:vAlign w:val="center"/>
          </w:tcPr>
          <w:p>
            <w:pPr>
              <w:pStyle w:val="20"/>
            </w:pPr>
            <w:r>
              <w:t>免费开放文化场馆（站）正常运转的可持续影响时限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《秦皇岛市基本公共服务实施标准（2021年）》</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群众满意度</w:t>
            </w:r>
          </w:p>
        </w:tc>
        <w:tc>
          <w:tcPr>
            <w:tcW w:w="5386" w:type="dxa"/>
            <w:tcBorders>
              <w:top w:val="single" w:sz="6" w:space="0" w:color="000000"/>
              <w:left w:val="single" w:sz="6" w:space="0" w:color="000000"/>
              <w:right w:val="single" w:sz="6" w:space="0" w:color="000000"/>
            </w:tcBorders>
            <w:vAlign w:val="center"/>
          </w:tcPr>
          <w:p>
            <w:pPr>
              <w:pStyle w:val="20"/>
            </w:pPr>
            <w:r>
              <w:t>社会群众对免费开放文化场馆（站）满意的人数占调查总人数的比例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4、冀财教[2024]145号关于提前下达2025年省级非物质文化遗产保护专项资金绩效目标表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13032225P00217610002A</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冀财教[2024]145号关于提前下达2025年省级非物质文化遗产保护专项资金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9.00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9.00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为了更好地保护和传承昌黎民间艺术，使昌黎传统文化得到有效地推广和传播，继承和弘扬昌黎非物质文化遗产。</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1.为了更好地保护和传承昌黎民间艺术，使昌黎传统文化得到有效地推广和传播，继承和弘扬昌黎非物质文化遗产。</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省级传承人数量</w:t>
            </w:r>
          </w:p>
        </w:tc>
        <w:tc>
          <w:tcPr>
            <w:tcW w:w="5386" w:type="dxa"/>
            <w:tcBorders>
              <w:top w:val="single" w:sz="6" w:space="0" w:color="000000"/>
              <w:left w:val="single" w:sz="6" w:space="0" w:color="000000"/>
              <w:right w:val="single" w:sz="6" w:space="0" w:color="000000"/>
            </w:tcBorders>
            <w:vAlign w:val="center"/>
          </w:tcPr>
          <w:p>
            <w:pPr>
              <w:pStyle w:val="20"/>
            </w:pPr>
            <w:r>
              <w:t>各项昌黎非遗项目省级传承人数量</w:t>
            </w:r>
          </w:p>
        </w:tc>
        <w:tc>
          <w:tcPr>
            <w:tcW w:w="2268" w:type="dxa"/>
            <w:tcBorders>
              <w:top w:val="single" w:sz="6" w:space="0" w:color="000000"/>
              <w:left w:val="single" w:sz="6" w:space="0" w:color="000000"/>
              <w:right w:val="single" w:sz="6" w:space="0" w:color="000000"/>
            </w:tcBorders>
            <w:vAlign w:val="center"/>
          </w:tcPr>
          <w:p>
            <w:pPr>
              <w:pStyle w:val="20"/>
            </w:pPr>
            <w:r>
              <w:t>≤15人</w:t>
            </w:r>
          </w:p>
        </w:tc>
        <w:tc>
          <w:tcPr>
            <w:tcW w:w="1276" w:type="dxa"/>
            <w:vAlign w:val="center"/>
          </w:tcPr>
          <w:p>
            <w:pPr>
              <w:pStyle w:val="20"/>
            </w:pPr>
            <w:r>
              <w:t>河北省非物质文化遗产保护专项资金管理办法</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传承推广服务人次</w:t>
            </w:r>
          </w:p>
        </w:tc>
        <w:tc>
          <w:tcPr>
            <w:tcW w:w="5386" w:type="dxa"/>
            <w:tcBorders>
              <w:top w:val="single" w:sz="6" w:space="0" w:color="000000"/>
              <w:left w:val="single" w:sz="6" w:space="0" w:color="000000"/>
              <w:right w:val="single" w:sz="6" w:space="0" w:color="000000"/>
            </w:tcBorders>
            <w:vAlign w:val="center"/>
          </w:tcPr>
          <w:p>
            <w:pPr>
              <w:pStyle w:val="20"/>
            </w:pPr>
            <w:r>
              <w:t>全年开展昌黎非遗项目传承宣传推广活动服务人次</w:t>
            </w:r>
          </w:p>
        </w:tc>
        <w:tc>
          <w:tcPr>
            <w:tcW w:w="2268" w:type="dxa"/>
            <w:tcBorders>
              <w:top w:val="single" w:sz="6" w:space="0" w:color="000000"/>
              <w:left w:val="single" w:sz="6" w:space="0" w:color="000000"/>
              <w:right w:val="single" w:sz="6" w:space="0" w:color="000000"/>
            </w:tcBorders>
            <w:vAlign w:val="center"/>
          </w:tcPr>
          <w:p>
            <w:pPr>
              <w:pStyle w:val="20"/>
            </w:pPr>
            <w:r>
              <w:t>≥5万人次</w:t>
            </w:r>
          </w:p>
        </w:tc>
        <w:tc>
          <w:tcPr>
            <w:tcW w:w="1276" w:type="dxa"/>
            <w:vAlign w:val="center"/>
          </w:tcPr>
          <w:p>
            <w:pPr>
              <w:pStyle w:val="20"/>
            </w:pPr>
            <w:r>
              <w:t>河北省非物质文化遗产保护专项资金管理办法</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开展宣传推广活动及时率</w:t>
            </w:r>
          </w:p>
        </w:tc>
        <w:tc>
          <w:tcPr>
            <w:tcW w:w="5386" w:type="dxa"/>
            <w:tcBorders>
              <w:top w:val="single" w:sz="6" w:space="0" w:color="000000"/>
              <w:left w:val="single" w:sz="6" w:space="0" w:color="000000"/>
              <w:right w:val="single" w:sz="6" w:space="0" w:color="000000"/>
            </w:tcBorders>
            <w:vAlign w:val="center"/>
          </w:tcPr>
          <w:p>
            <w:pPr>
              <w:pStyle w:val="20"/>
            </w:pPr>
            <w:r>
              <w:t>开展活动及时率=及时开展活动次数/全年计划开展活动次数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河北省非物质文化遗产保护专项资金管理办法</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开展传承活动成本</w:t>
            </w:r>
          </w:p>
        </w:tc>
        <w:tc>
          <w:tcPr>
            <w:tcW w:w="5386" w:type="dxa"/>
            <w:tcBorders>
              <w:top w:val="single" w:sz="6" w:space="0" w:color="000000"/>
              <w:left w:val="single" w:sz="6" w:space="0" w:color="000000"/>
              <w:right w:val="single" w:sz="6" w:space="0" w:color="000000"/>
            </w:tcBorders>
            <w:vAlign w:val="center"/>
          </w:tcPr>
          <w:p>
            <w:pPr>
              <w:pStyle w:val="20"/>
            </w:pPr>
            <w:r>
              <w:t>开展昌黎非遗项目传承传承推广活动费用</w:t>
            </w:r>
          </w:p>
        </w:tc>
        <w:tc>
          <w:tcPr>
            <w:tcW w:w="2268" w:type="dxa"/>
            <w:tcBorders>
              <w:top w:val="single" w:sz="6" w:space="0" w:color="000000"/>
              <w:left w:val="single" w:sz="6" w:space="0" w:color="000000"/>
              <w:right w:val="single" w:sz="6" w:space="0" w:color="000000"/>
            </w:tcBorders>
            <w:vAlign w:val="center"/>
          </w:tcPr>
          <w:p>
            <w:pPr>
              <w:pStyle w:val="20"/>
            </w:pPr>
            <w:r>
              <w:t>≤9万元</w:t>
            </w:r>
          </w:p>
        </w:tc>
        <w:tc>
          <w:tcPr>
            <w:tcW w:w="1276" w:type="dxa"/>
            <w:vAlign w:val="center"/>
          </w:tcPr>
          <w:p>
            <w:pPr>
              <w:pStyle w:val="20"/>
            </w:pPr>
            <w:r>
              <w:t>河北省非物质文化遗产保护专项资金管理办法</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提高财政资金的使用效率</w:t>
            </w:r>
          </w:p>
        </w:tc>
        <w:tc>
          <w:tcPr>
            <w:tcW w:w="5386" w:type="dxa"/>
            <w:tcBorders>
              <w:top w:val="single" w:sz="6" w:space="0" w:color="000000"/>
              <w:left w:val="single" w:sz="6" w:space="0" w:color="000000"/>
              <w:right w:val="single" w:sz="6" w:space="0" w:color="000000"/>
            </w:tcBorders>
            <w:vAlign w:val="center"/>
          </w:tcPr>
          <w:p>
            <w:pPr>
              <w:pStyle w:val="20"/>
            </w:pPr>
            <w:r>
              <w:t>提高财政资金的使用效率，做到节俭高效。</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河北省非物质文化遗产保护专项资金管理办法</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推动非遗文化传承发展</w:t>
            </w:r>
          </w:p>
        </w:tc>
        <w:tc>
          <w:tcPr>
            <w:tcW w:w="5386" w:type="dxa"/>
            <w:tcBorders>
              <w:top w:val="single" w:sz="6" w:space="0" w:color="000000"/>
              <w:left w:val="single" w:sz="6" w:space="0" w:color="000000"/>
              <w:right w:val="single" w:sz="6" w:space="0" w:color="000000"/>
            </w:tcBorders>
            <w:vAlign w:val="center"/>
          </w:tcPr>
          <w:p>
            <w:pPr>
              <w:pStyle w:val="20"/>
            </w:pPr>
            <w:r>
              <w:t>开展昌黎非遗项目传承推广活动，进一步推动非遗文化传承发展</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河北省非物质文化遗产保护专项资金管理办法</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进一步改善非遗文化传承生态环境</w:t>
            </w:r>
          </w:p>
        </w:tc>
        <w:tc>
          <w:tcPr>
            <w:tcW w:w="5386" w:type="dxa"/>
            <w:tcBorders>
              <w:top w:val="single" w:sz="6" w:space="0" w:color="000000"/>
              <w:left w:val="single" w:sz="6" w:space="0" w:color="000000"/>
              <w:right w:val="single" w:sz="6" w:space="0" w:color="000000"/>
            </w:tcBorders>
            <w:vAlign w:val="center"/>
          </w:tcPr>
          <w:p>
            <w:pPr>
              <w:pStyle w:val="20"/>
            </w:pPr>
            <w:r>
              <w:t>开展昌黎非遗项目传承推广活动，进一步改善非遗文化传承生态环境</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河北省非物质文化遗产保护专项资金管理办法</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持续扩大传承影响人群</w:t>
            </w:r>
          </w:p>
        </w:tc>
        <w:tc>
          <w:tcPr>
            <w:tcW w:w="5386" w:type="dxa"/>
            <w:tcBorders>
              <w:top w:val="single" w:sz="6" w:space="0" w:color="000000"/>
              <w:left w:val="single" w:sz="6" w:space="0" w:color="000000"/>
              <w:right w:val="single" w:sz="6" w:space="0" w:color="000000"/>
            </w:tcBorders>
            <w:vAlign w:val="center"/>
          </w:tcPr>
          <w:p>
            <w:pPr>
              <w:pStyle w:val="20"/>
            </w:pPr>
            <w:r>
              <w:t>通过开展昌黎非遗项目传承推广活动，持续扩大传承影响人群</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河北省非物质文化遗产保护专项资金管理办法</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群众满意度</w:t>
            </w:r>
          </w:p>
        </w:tc>
        <w:tc>
          <w:tcPr>
            <w:tcW w:w="5386" w:type="dxa"/>
            <w:tcBorders>
              <w:top w:val="single" w:sz="6" w:space="0" w:color="000000"/>
              <w:left w:val="single" w:sz="6" w:space="0" w:color="000000"/>
              <w:right w:val="single" w:sz="6" w:space="0" w:color="000000"/>
            </w:tcBorders>
            <w:vAlign w:val="center"/>
          </w:tcPr>
          <w:p>
            <w:pPr>
              <w:pStyle w:val="20"/>
            </w:pPr>
            <w:r>
              <w:t>问卷调查社会群众对非遗项目传承推广活动满意度</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5、冀财教【2025】115号2026年中央支持地方公共文化服务体系建设补助资金绩效目标表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13032226P00217710035W</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冀财教【2025】115号2026年中央支持地方公共文化服务体系建设补助资金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189.04</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189.04</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提升基层公共文化服务体系，开展群众文化活动及文化惠民演出</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1.提升基层公共文化服务体系，开展群众文化活动及文化惠民演出</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惠民数量</w:t>
            </w:r>
          </w:p>
        </w:tc>
        <w:tc>
          <w:tcPr>
            <w:tcW w:w="5386" w:type="dxa"/>
            <w:tcBorders>
              <w:top w:val="single" w:sz="6" w:space="0" w:color="000000"/>
              <w:left w:val="single" w:sz="6" w:space="0" w:color="000000"/>
              <w:right w:val="single" w:sz="6" w:space="0" w:color="000000"/>
            </w:tcBorders>
            <w:vAlign w:val="center"/>
          </w:tcPr>
          <w:p>
            <w:pPr>
              <w:pStyle w:val="20"/>
            </w:pPr>
            <w:r>
              <w:t>惠及群众数量</w:t>
            </w:r>
          </w:p>
        </w:tc>
        <w:tc>
          <w:tcPr>
            <w:tcW w:w="2268" w:type="dxa"/>
            <w:tcBorders>
              <w:top w:val="single" w:sz="6" w:space="0" w:color="000000"/>
              <w:left w:val="single" w:sz="6" w:space="0" w:color="000000"/>
              <w:right w:val="single" w:sz="6" w:space="0" w:color="000000"/>
            </w:tcBorders>
            <w:vAlign w:val="center"/>
          </w:tcPr>
          <w:p>
            <w:pPr>
              <w:pStyle w:val="20"/>
            </w:pPr>
            <w:r>
              <w:t>≥12万人</w:t>
            </w:r>
          </w:p>
        </w:tc>
        <w:tc>
          <w:tcPr>
            <w:tcW w:w="1276" w:type="dxa"/>
            <w:vAlign w:val="center"/>
          </w:tcPr>
          <w:p>
            <w:pPr>
              <w:pStyle w:val="20"/>
            </w:pPr>
            <w:r>
              <w:t>《河北省基本公共服务实施标准（2023年版）》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服务群众人次较上年增长率</w:t>
            </w:r>
          </w:p>
        </w:tc>
        <w:tc>
          <w:tcPr>
            <w:tcW w:w="5386" w:type="dxa"/>
            <w:tcBorders>
              <w:top w:val="single" w:sz="6" w:space="0" w:color="000000"/>
              <w:left w:val="single" w:sz="6" w:space="0" w:color="000000"/>
              <w:right w:val="single" w:sz="6" w:space="0" w:color="000000"/>
            </w:tcBorders>
            <w:vAlign w:val="center"/>
          </w:tcPr>
          <w:p>
            <w:pPr>
              <w:pStyle w:val="20"/>
            </w:pPr>
            <w:r>
              <w:t>基层文化设施服务群众较上年增长人数占上年人数的比例</w:t>
            </w:r>
          </w:p>
        </w:tc>
        <w:tc>
          <w:tcPr>
            <w:tcW w:w="2268" w:type="dxa"/>
            <w:tcBorders>
              <w:top w:val="single" w:sz="6" w:space="0" w:color="000000"/>
              <w:left w:val="single" w:sz="6" w:space="0" w:color="000000"/>
              <w:right w:val="single" w:sz="6" w:space="0" w:color="000000"/>
            </w:tcBorders>
            <w:vAlign w:val="center"/>
          </w:tcPr>
          <w:p>
            <w:pPr>
              <w:pStyle w:val="20"/>
            </w:pPr>
            <w:r>
              <w:t>≥0.4%</w:t>
            </w:r>
          </w:p>
        </w:tc>
        <w:tc>
          <w:tcPr>
            <w:tcW w:w="1276" w:type="dxa"/>
            <w:vAlign w:val="center"/>
          </w:tcPr>
          <w:p>
            <w:pPr>
              <w:pStyle w:val="20"/>
            </w:pPr>
            <w:r>
              <w:t>《河北省基本公共服务实施标准（2023年版）》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工作任务按时完成率</w:t>
            </w:r>
          </w:p>
        </w:tc>
        <w:tc>
          <w:tcPr>
            <w:tcW w:w="5386" w:type="dxa"/>
            <w:tcBorders>
              <w:top w:val="single" w:sz="6" w:space="0" w:color="000000"/>
              <w:left w:val="single" w:sz="6" w:space="0" w:color="000000"/>
              <w:right w:val="single" w:sz="6" w:space="0" w:color="000000"/>
            </w:tcBorders>
            <w:vAlign w:val="center"/>
          </w:tcPr>
          <w:p>
            <w:pPr>
              <w:pStyle w:val="20"/>
            </w:pPr>
            <w:r>
              <w:t>实际按时完成工作目标数量占目标工作数量的比例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《河北省基本公共服务实施标准（2023年版）》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公共文化服务体系建设资金</w:t>
            </w:r>
          </w:p>
        </w:tc>
        <w:tc>
          <w:tcPr>
            <w:tcW w:w="5386" w:type="dxa"/>
            <w:tcBorders>
              <w:top w:val="single" w:sz="6" w:space="0" w:color="000000"/>
              <w:left w:val="single" w:sz="6" w:space="0" w:color="000000"/>
              <w:right w:val="single" w:sz="6" w:space="0" w:color="000000"/>
            </w:tcBorders>
            <w:vAlign w:val="center"/>
          </w:tcPr>
          <w:p>
            <w:pPr>
              <w:pStyle w:val="20"/>
            </w:pPr>
            <w:r>
              <w:t>降低公共文化服务体系建设资金成本</w:t>
            </w:r>
          </w:p>
        </w:tc>
        <w:tc>
          <w:tcPr>
            <w:tcW w:w="2268" w:type="dxa"/>
            <w:tcBorders>
              <w:top w:val="single" w:sz="6" w:space="0" w:color="000000"/>
              <w:left w:val="single" w:sz="6" w:space="0" w:color="000000"/>
              <w:right w:val="single" w:sz="6" w:space="0" w:color="000000"/>
            </w:tcBorders>
            <w:vAlign w:val="center"/>
          </w:tcPr>
          <w:p>
            <w:pPr>
              <w:pStyle w:val="20"/>
            </w:pPr>
            <w:r>
              <w:t>≤189.04万元</w:t>
            </w:r>
          </w:p>
        </w:tc>
        <w:tc>
          <w:tcPr>
            <w:tcW w:w="1276" w:type="dxa"/>
            <w:vAlign w:val="center"/>
          </w:tcPr>
          <w:p>
            <w:pPr>
              <w:pStyle w:val="20"/>
            </w:pPr>
            <w:r>
              <w:t>《河北省基本公共服务实施标准（2023年版）》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带动其他相关消费项目增收情况</w:t>
            </w:r>
          </w:p>
        </w:tc>
        <w:tc>
          <w:tcPr>
            <w:tcW w:w="5386" w:type="dxa"/>
            <w:tcBorders>
              <w:top w:val="single" w:sz="6" w:space="0" w:color="000000"/>
              <w:left w:val="single" w:sz="6" w:space="0" w:color="000000"/>
              <w:right w:val="single" w:sz="6" w:space="0" w:color="000000"/>
            </w:tcBorders>
            <w:vAlign w:val="center"/>
          </w:tcPr>
          <w:p>
            <w:pPr>
              <w:pStyle w:val="20"/>
            </w:pPr>
            <w:r>
              <w:t>带动其他相关消费项目增收资金数</w:t>
            </w:r>
          </w:p>
        </w:tc>
        <w:tc>
          <w:tcPr>
            <w:tcW w:w="2268" w:type="dxa"/>
            <w:tcBorders>
              <w:top w:val="single" w:sz="6" w:space="0" w:color="000000"/>
              <w:left w:val="single" w:sz="6" w:space="0" w:color="000000"/>
              <w:right w:val="single" w:sz="6" w:space="0" w:color="000000"/>
            </w:tcBorders>
            <w:vAlign w:val="center"/>
          </w:tcPr>
          <w:p>
            <w:pPr>
              <w:pStyle w:val="20"/>
            </w:pPr>
            <w:r>
              <w:t>≥12万元</w:t>
            </w:r>
          </w:p>
        </w:tc>
        <w:tc>
          <w:tcPr>
            <w:tcW w:w="1276" w:type="dxa"/>
            <w:vAlign w:val="center"/>
          </w:tcPr>
          <w:p>
            <w:pPr>
              <w:pStyle w:val="20"/>
            </w:pPr>
            <w:r>
              <w:t>《河北省基本公共服务实施标准（2023年版）》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举办文化活动较上年增长率</w:t>
            </w:r>
          </w:p>
        </w:tc>
        <w:tc>
          <w:tcPr>
            <w:tcW w:w="5386" w:type="dxa"/>
            <w:tcBorders>
              <w:top w:val="single" w:sz="6" w:space="0" w:color="000000"/>
              <w:left w:val="single" w:sz="6" w:space="0" w:color="000000"/>
              <w:right w:val="single" w:sz="6" w:space="0" w:color="000000"/>
            </w:tcBorders>
            <w:vAlign w:val="center"/>
          </w:tcPr>
          <w:p>
            <w:pPr>
              <w:pStyle w:val="20"/>
            </w:pPr>
            <w:r>
              <w:t>2026年文化活动数量比2025年增加的数量占2025年文化活动数量的比例</w:t>
            </w:r>
          </w:p>
        </w:tc>
        <w:tc>
          <w:tcPr>
            <w:tcW w:w="2268" w:type="dxa"/>
            <w:tcBorders>
              <w:top w:val="single" w:sz="6" w:space="0" w:color="000000"/>
              <w:left w:val="single" w:sz="6" w:space="0" w:color="000000"/>
              <w:right w:val="single" w:sz="6" w:space="0" w:color="000000"/>
            </w:tcBorders>
            <w:vAlign w:val="center"/>
          </w:tcPr>
          <w:p>
            <w:pPr>
              <w:pStyle w:val="20"/>
            </w:pPr>
            <w:r>
              <w:t>≥1%</w:t>
            </w:r>
          </w:p>
        </w:tc>
        <w:tc>
          <w:tcPr>
            <w:tcW w:w="1276" w:type="dxa"/>
            <w:vAlign w:val="center"/>
          </w:tcPr>
          <w:p>
            <w:pPr>
              <w:pStyle w:val="20"/>
            </w:pPr>
            <w:r>
              <w:t>《河北省基本公共服务实施标准（2023年版）》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节约能源</w:t>
            </w:r>
          </w:p>
        </w:tc>
        <w:tc>
          <w:tcPr>
            <w:tcW w:w="5386" w:type="dxa"/>
            <w:tcBorders>
              <w:top w:val="single" w:sz="6" w:space="0" w:color="000000"/>
              <w:left w:val="single" w:sz="6" w:space="0" w:color="000000"/>
              <w:right w:val="single" w:sz="6" w:space="0" w:color="000000"/>
            </w:tcBorders>
            <w:vAlign w:val="center"/>
          </w:tcPr>
          <w:p>
            <w:pPr>
              <w:pStyle w:val="20"/>
            </w:pPr>
            <w:r>
              <w:t>降低耗能，绿色办公</w:t>
            </w:r>
          </w:p>
        </w:tc>
        <w:tc>
          <w:tcPr>
            <w:tcW w:w="2268" w:type="dxa"/>
            <w:tcBorders>
              <w:top w:val="single" w:sz="6" w:space="0" w:color="000000"/>
              <w:left w:val="single" w:sz="6" w:space="0" w:color="000000"/>
              <w:right w:val="single" w:sz="6" w:space="0" w:color="000000"/>
            </w:tcBorders>
            <w:vAlign w:val="center"/>
          </w:tcPr>
          <w:p>
            <w:pPr>
              <w:pStyle w:val="20"/>
            </w:pPr>
            <w:r>
              <w:t>较上年节约</w:t>
            </w:r>
          </w:p>
        </w:tc>
        <w:tc>
          <w:tcPr>
            <w:tcW w:w="1276" w:type="dxa"/>
            <w:vAlign w:val="center"/>
          </w:tcPr>
          <w:p>
            <w:pPr>
              <w:pStyle w:val="20"/>
            </w:pPr>
            <w:r>
              <w:t>《河北省基本公共服务实施标准（2023年版）》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免费开放文化场馆（站）的可持续影响</w:t>
            </w:r>
          </w:p>
        </w:tc>
        <w:tc>
          <w:tcPr>
            <w:tcW w:w="5386" w:type="dxa"/>
            <w:tcBorders>
              <w:top w:val="single" w:sz="6" w:space="0" w:color="000000"/>
              <w:left w:val="single" w:sz="6" w:space="0" w:color="000000"/>
              <w:right w:val="single" w:sz="6" w:space="0" w:color="000000"/>
            </w:tcBorders>
            <w:vAlign w:val="center"/>
          </w:tcPr>
          <w:p>
            <w:pPr>
              <w:pStyle w:val="20"/>
            </w:pPr>
            <w:r>
              <w:t>免费开放文化场馆（站）正常运转的可持续影响时限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《河北省基本公共服务实施标准（2023年版）》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群众满意度</w:t>
            </w:r>
          </w:p>
        </w:tc>
        <w:tc>
          <w:tcPr>
            <w:tcW w:w="5386" w:type="dxa"/>
            <w:tcBorders>
              <w:top w:val="single" w:sz="6" w:space="0" w:color="000000"/>
              <w:left w:val="single" w:sz="6" w:space="0" w:color="000000"/>
              <w:right w:val="single" w:sz="6" w:space="0" w:color="000000"/>
            </w:tcBorders>
            <w:vAlign w:val="center"/>
          </w:tcPr>
          <w:p>
            <w:pPr>
              <w:pStyle w:val="20"/>
            </w:pPr>
            <w:r>
              <w:t>社会群众对免费开放文化场馆（站）满意程度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《河北省基本公共服务实施标准（2023年版）》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6、冀财教【2025】44号2025年中央支持地方公共文化服务体系建设补助资金绩效目标表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13032225P00217710010L</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冀财教【2025】44号2025年中央支持地方公共文化服务体系建设补助资金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30.33</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30.33</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用于开展文化惠民演出及基层公共文化服务体系的提升，提升县乡村三级文化设施免费开放服务水平</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1.用于开展文化惠民演出</w:t>
            </w:r>
          </w:p>
          <w:p>
            <w:pPr>
              <w:pStyle w:val="20"/>
            </w:pPr>
            <w:r>
              <w:t>2.用于基层公共文化服务体系的提升，提升县乡村三级文化设施免费开放服务水平</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惠民数量</w:t>
            </w:r>
          </w:p>
        </w:tc>
        <w:tc>
          <w:tcPr>
            <w:tcW w:w="5386" w:type="dxa"/>
            <w:tcBorders>
              <w:top w:val="single" w:sz="6" w:space="0" w:color="000000"/>
              <w:left w:val="single" w:sz="6" w:space="0" w:color="000000"/>
              <w:right w:val="single" w:sz="6" w:space="0" w:color="000000"/>
            </w:tcBorders>
            <w:vAlign w:val="center"/>
          </w:tcPr>
          <w:p>
            <w:pPr>
              <w:pStyle w:val="20"/>
            </w:pPr>
            <w:r>
              <w:t>惠及群众数量</w:t>
            </w:r>
          </w:p>
        </w:tc>
        <w:tc>
          <w:tcPr>
            <w:tcW w:w="2268" w:type="dxa"/>
            <w:tcBorders>
              <w:top w:val="single" w:sz="6" w:space="0" w:color="000000"/>
              <w:left w:val="single" w:sz="6" w:space="0" w:color="000000"/>
              <w:right w:val="single" w:sz="6" w:space="0" w:color="000000"/>
            </w:tcBorders>
            <w:vAlign w:val="center"/>
          </w:tcPr>
          <w:p>
            <w:pPr>
              <w:pStyle w:val="20"/>
            </w:pPr>
            <w:r>
              <w:t>≥8万人</w:t>
            </w:r>
          </w:p>
        </w:tc>
        <w:tc>
          <w:tcPr>
            <w:tcW w:w="1276" w:type="dxa"/>
            <w:vAlign w:val="center"/>
          </w:tcPr>
          <w:p>
            <w:pPr>
              <w:pStyle w:val="20"/>
            </w:pPr>
            <w:r>
              <w:t>《秦皇岛市基本公共服务实施标准（2021年）》</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工作按时完成率</w:t>
            </w:r>
          </w:p>
        </w:tc>
        <w:tc>
          <w:tcPr>
            <w:tcW w:w="5386" w:type="dxa"/>
            <w:tcBorders>
              <w:top w:val="single" w:sz="6" w:space="0" w:color="000000"/>
              <w:left w:val="single" w:sz="6" w:space="0" w:color="000000"/>
              <w:right w:val="single" w:sz="6" w:space="0" w:color="000000"/>
            </w:tcBorders>
            <w:vAlign w:val="center"/>
          </w:tcPr>
          <w:p>
            <w:pPr>
              <w:pStyle w:val="20"/>
            </w:pPr>
            <w:r>
              <w:t>实际按时完成工作目标数量占目标工作数量的比例</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《秦皇岛市基本公共服务实施标准（2021年）》</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按时完成工作目标</w:t>
            </w:r>
          </w:p>
        </w:tc>
        <w:tc>
          <w:tcPr>
            <w:tcW w:w="5386" w:type="dxa"/>
            <w:tcBorders>
              <w:top w:val="single" w:sz="6" w:space="0" w:color="000000"/>
              <w:left w:val="single" w:sz="6" w:space="0" w:color="000000"/>
              <w:right w:val="single" w:sz="6" w:space="0" w:color="000000"/>
            </w:tcBorders>
            <w:vAlign w:val="center"/>
          </w:tcPr>
          <w:p>
            <w:pPr>
              <w:pStyle w:val="20"/>
            </w:pPr>
            <w:r>
              <w:t>2025年12月前完成文化惠民演出次数占全年演出工作目标率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《秦皇岛市基本公共服务实施标准（2021年）》</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公共文化服务体系建设资金</w:t>
            </w:r>
          </w:p>
        </w:tc>
        <w:tc>
          <w:tcPr>
            <w:tcW w:w="5386" w:type="dxa"/>
            <w:tcBorders>
              <w:top w:val="single" w:sz="6" w:space="0" w:color="000000"/>
              <w:left w:val="single" w:sz="6" w:space="0" w:color="000000"/>
              <w:right w:val="single" w:sz="6" w:space="0" w:color="000000"/>
            </w:tcBorders>
            <w:vAlign w:val="center"/>
          </w:tcPr>
          <w:p>
            <w:pPr>
              <w:pStyle w:val="20"/>
            </w:pPr>
            <w:r>
              <w:t>降低公共文化服务体系建设资金成本</w:t>
            </w:r>
          </w:p>
        </w:tc>
        <w:tc>
          <w:tcPr>
            <w:tcW w:w="2268" w:type="dxa"/>
            <w:tcBorders>
              <w:top w:val="single" w:sz="6" w:space="0" w:color="000000"/>
              <w:left w:val="single" w:sz="6" w:space="0" w:color="000000"/>
              <w:right w:val="single" w:sz="6" w:space="0" w:color="000000"/>
            </w:tcBorders>
            <w:vAlign w:val="center"/>
          </w:tcPr>
          <w:p>
            <w:pPr>
              <w:pStyle w:val="20"/>
            </w:pPr>
            <w:r>
              <w:t>≤30.34万元</w:t>
            </w:r>
          </w:p>
        </w:tc>
        <w:tc>
          <w:tcPr>
            <w:tcW w:w="1276" w:type="dxa"/>
            <w:vAlign w:val="center"/>
          </w:tcPr>
          <w:p>
            <w:pPr>
              <w:pStyle w:val="20"/>
            </w:pPr>
            <w:r>
              <w:t>《秦皇岛市基本公共服务实施标准（2021年）》</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带动其他相关消费项目增收情况</w:t>
            </w:r>
          </w:p>
        </w:tc>
        <w:tc>
          <w:tcPr>
            <w:tcW w:w="5386" w:type="dxa"/>
            <w:tcBorders>
              <w:top w:val="single" w:sz="6" w:space="0" w:color="000000"/>
              <w:left w:val="single" w:sz="6" w:space="0" w:color="000000"/>
              <w:right w:val="single" w:sz="6" w:space="0" w:color="000000"/>
            </w:tcBorders>
            <w:vAlign w:val="center"/>
          </w:tcPr>
          <w:p>
            <w:pPr>
              <w:pStyle w:val="20"/>
            </w:pPr>
            <w:r>
              <w:t>带动其他相关消费项目增收资金数</w:t>
            </w:r>
          </w:p>
        </w:tc>
        <w:tc>
          <w:tcPr>
            <w:tcW w:w="2268" w:type="dxa"/>
            <w:tcBorders>
              <w:top w:val="single" w:sz="6" w:space="0" w:color="000000"/>
              <w:left w:val="single" w:sz="6" w:space="0" w:color="000000"/>
              <w:right w:val="single" w:sz="6" w:space="0" w:color="000000"/>
            </w:tcBorders>
            <w:vAlign w:val="center"/>
          </w:tcPr>
          <w:p>
            <w:pPr>
              <w:pStyle w:val="20"/>
            </w:pPr>
            <w:r>
              <w:t>≥8万元</w:t>
            </w:r>
          </w:p>
        </w:tc>
        <w:tc>
          <w:tcPr>
            <w:tcW w:w="1276" w:type="dxa"/>
            <w:vAlign w:val="center"/>
          </w:tcPr>
          <w:p>
            <w:pPr>
              <w:pStyle w:val="20"/>
            </w:pPr>
            <w:r>
              <w:t>《秦皇岛市基本公共服务实施标准（2021年）》</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举办文化活动较上年增长率</w:t>
            </w:r>
          </w:p>
        </w:tc>
        <w:tc>
          <w:tcPr>
            <w:tcW w:w="5386" w:type="dxa"/>
            <w:tcBorders>
              <w:top w:val="single" w:sz="6" w:space="0" w:color="000000"/>
              <w:left w:val="single" w:sz="6" w:space="0" w:color="000000"/>
              <w:right w:val="single" w:sz="6" w:space="0" w:color="000000"/>
            </w:tcBorders>
            <w:vAlign w:val="center"/>
          </w:tcPr>
          <w:p>
            <w:pPr>
              <w:pStyle w:val="20"/>
            </w:pPr>
            <w:r>
              <w:t>2025年增加的文化活动数量占2024年文化活动数量的比例</w:t>
            </w:r>
          </w:p>
        </w:tc>
        <w:tc>
          <w:tcPr>
            <w:tcW w:w="2268" w:type="dxa"/>
            <w:tcBorders>
              <w:top w:val="single" w:sz="6" w:space="0" w:color="000000"/>
              <w:left w:val="single" w:sz="6" w:space="0" w:color="000000"/>
              <w:right w:val="single" w:sz="6" w:space="0" w:color="000000"/>
            </w:tcBorders>
            <w:vAlign w:val="center"/>
          </w:tcPr>
          <w:p>
            <w:pPr>
              <w:pStyle w:val="20"/>
            </w:pPr>
            <w:r>
              <w:t>≥0.3%</w:t>
            </w:r>
          </w:p>
        </w:tc>
        <w:tc>
          <w:tcPr>
            <w:tcW w:w="1276" w:type="dxa"/>
            <w:vAlign w:val="center"/>
          </w:tcPr>
          <w:p>
            <w:pPr>
              <w:pStyle w:val="20"/>
            </w:pPr>
            <w:r>
              <w:t>《秦皇岛市基本公共服务实施标准（2021年）》</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节约能源</w:t>
            </w:r>
          </w:p>
        </w:tc>
        <w:tc>
          <w:tcPr>
            <w:tcW w:w="5386" w:type="dxa"/>
            <w:tcBorders>
              <w:top w:val="single" w:sz="6" w:space="0" w:color="000000"/>
              <w:left w:val="single" w:sz="6" w:space="0" w:color="000000"/>
              <w:right w:val="single" w:sz="6" w:space="0" w:color="000000"/>
            </w:tcBorders>
            <w:vAlign w:val="center"/>
          </w:tcPr>
          <w:p>
            <w:pPr>
              <w:pStyle w:val="20"/>
            </w:pPr>
            <w:r>
              <w:t>降低耗能，绿色办公</w:t>
            </w:r>
          </w:p>
        </w:tc>
        <w:tc>
          <w:tcPr>
            <w:tcW w:w="2268" w:type="dxa"/>
            <w:tcBorders>
              <w:top w:val="single" w:sz="6" w:space="0" w:color="000000"/>
              <w:left w:val="single" w:sz="6" w:space="0" w:color="000000"/>
              <w:right w:val="single" w:sz="6" w:space="0" w:color="000000"/>
            </w:tcBorders>
            <w:vAlign w:val="center"/>
          </w:tcPr>
          <w:p>
            <w:pPr>
              <w:pStyle w:val="20"/>
            </w:pPr>
            <w:r>
              <w:t>较上年节约</w:t>
            </w:r>
          </w:p>
        </w:tc>
        <w:tc>
          <w:tcPr>
            <w:tcW w:w="1276" w:type="dxa"/>
            <w:vAlign w:val="center"/>
          </w:tcPr>
          <w:p>
            <w:pPr>
              <w:pStyle w:val="20"/>
            </w:pPr>
            <w:r>
              <w:t>《秦皇岛市基本公共服务实施标准（2021年）》</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免费开放文化场馆（站）的可持续影响</w:t>
            </w:r>
          </w:p>
        </w:tc>
        <w:tc>
          <w:tcPr>
            <w:tcW w:w="5386" w:type="dxa"/>
            <w:tcBorders>
              <w:top w:val="single" w:sz="6" w:space="0" w:color="000000"/>
              <w:left w:val="single" w:sz="6" w:space="0" w:color="000000"/>
              <w:right w:val="single" w:sz="6" w:space="0" w:color="000000"/>
            </w:tcBorders>
            <w:vAlign w:val="center"/>
          </w:tcPr>
          <w:p>
            <w:pPr>
              <w:pStyle w:val="20"/>
            </w:pPr>
            <w:r>
              <w:t>免费开放文化场馆（站）正常运转的可持续影响时限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《秦皇岛市基本公共服务实施标准（2021年）》</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群众满意度</w:t>
            </w:r>
          </w:p>
        </w:tc>
        <w:tc>
          <w:tcPr>
            <w:tcW w:w="5386" w:type="dxa"/>
            <w:tcBorders>
              <w:top w:val="single" w:sz="6" w:space="0" w:color="000000"/>
              <w:left w:val="single" w:sz="6" w:space="0" w:color="000000"/>
              <w:right w:val="single" w:sz="6" w:space="0" w:color="000000"/>
            </w:tcBorders>
            <w:vAlign w:val="center"/>
          </w:tcPr>
          <w:p>
            <w:pPr>
              <w:pStyle w:val="20"/>
            </w:pPr>
            <w:r>
              <w:t>社会群众对免费开放文化场馆（站）满意的人数占调查总人数的比例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7、企业人员补助绩效目标表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13032226P00233310084G</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企业人员补助</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140.00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140.00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ab/>
              <w:tab/>
              <w:tab/>
              <w:tab/>
              <w:tab/>
              <w:tab/>
              <w:tab/>
            </w:r>
          </w:p>
          <w:p>
            <w:pPr>
              <w:pStyle w:val="20"/>
            </w:pPr>
            <w:r>
              <w:t>保证人员工资按时发放，确保单位正常运转</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1.保证人员工资按时发放，确保单位正常运转</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工资保险人数</w:t>
            </w:r>
          </w:p>
        </w:tc>
        <w:tc>
          <w:tcPr>
            <w:tcW w:w="5386" w:type="dxa"/>
            <w:tcBorders>
              <w:top w:val="single" w:sz="6" w:space="0" w:color="000000"/>
              <w:left w:val="single" w:sz="6" w:space="0" w:color="000000"/>
              <w:right w:val="single" w:sz="6" w:space="0" w:color="000000"/>
            </w:tcBorders>
            <w:vAlign w:val="center"/>
          </w:tcPr>
          <w:p>
            <w:pPr>
              <w:pStyle w:val="20"/>
            </w:pPr>
            <w:r>
              <w:t>领取工资保险人数</w:t>
            </w:r>
          </w:p>
        </w:tc>
        <w:tc>
          <w:tcPr>
            <w:tcW w:w="2268" w:type="dxa"/>
            <w:tcBorders>
              <w:top w:val="single" w:sz="6" w:space="0" w:color="000000"/>
              <w:left w:val="single" w:sz="6" w:space="0" w:color="000000"/>
              <w:right w:val="single" w:sz="6" w:space="0" w:color="000000"/>
            </w:tcBorders>
            <w:vAlign w:val="center"/>
          </w:tcPr>
          <w:p>
            <w:pPr>
              <w:pStyle w:val="20"/>
            </w:pPr>
            <w:r>
              <w:t>≥25人</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人员经费到位率</w:t>
            </w:r>
          </w:p>
        </w:tc>
        <w:tc>
          <w:tcPr>
            <w:tcW w:w="5386" w:type="dxa"/>
            <w:tcBorders>
              <w:top w:val="single" w:sz="6" w:space="0" w:color="000000"/>
              <w:left w:val="single" w:sz="6" w:space="0" w:color="000000"/>
              <w:right w:val="single" w:sz="6" w:space="0" w:color="000000"/>
            </w:tcBorders>
            <w:vAlign w:val="center"/>
          </w:tcPr>
          <w:p>
            <w:pPr>
              <w:pStyle w:val="20"/>
            </w:pPr>
            <w:r>
              <w:t>人员经费到位资金的比例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支付及时率</w:t>
            </w:r>
          </w:p>
        </w:tc>
        <w:tc>
          <w:tcPr>
            <w:tcW w:w="5386" w:type="dxa"/>
            <w:tcBorders>
              <w:top w:val="single" w:sz="6" w:space="0" w:color="000000"/>
              <w:left w:val="single" w:sz="6" w:space="0" w:color="000000"/>
              <w:right w:val="single" w:sz="6" w:space="0" w:color="000000"/>
            </w:tcBorders>
            <w:vAlign w:val="center"/>
          </w:tcPr>
          <w:p>
            <w:pPr>
              <w:pStyle w:val="20"/>
            </w:pPr>
            <w:r>
              <w:t>人员经费发放及时率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工资保险等经费</w:t>
            </w:r>
          </w:p>
        </w:tc>
        <w:tc>
          <w:tcPr>
            <w:tcW w:w="5386" w:type="dxa"/>
            <w:tcBorders>
              <w:top w:val="single" w:sz="6" w:space="0" w:color="000000"/>
              <w:left w:val="single" w:sz="6" w:space="0" w:color="000000"/>
              <w:right w:val="single" w:sz="6" w:space="0" w:color="000000"/>
            </w:tcBorders>
            <w:vAlign w:val="center"/>
          </w:tcPr>
          <w:p>
            <w:pPr>
              <w:pStyle w:val="20"/>
            </w:pPr>
            <w:r>
              <w:t>经费总额</w:t>
            </w:r>
          </w:p>
        </w:tc>
        <w:tc>
          <w:tcPr>
            <w:tcW w:w="2268" w:type="dxa"/>
            <w:tcBorders>
              <w:top w:val="single" w:sz="6" w:space="0" w:color="000000"/>
              <w:left w:val="single" w:sz="6" w:space="0" w:color="000000"/>
              <w:right w:val="single" w:sz="6" w:space="0" w:color="000000"/>
            </w:tcBorders>
            <w:vAlign w:val="center"/>
          </w:tcPr>
          <w:p>
            <w:pPr>
              <w:pStyle w:val="20"/>
            </w:pPr>
            <w:r>
              <w:t>≤140万元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提高财政资金的使用效率</w:t>
            </w:r>
          </w:p>
        </w:tc>
        <w:tc>
          <w:tcPr>
            <w:tcW w:w="5386" w:type="dxa"/>
            <w:tcBorders>
              <w:top w:val="single" w:sz="6" w:space="0" w:color="000000"/>
              <w:left w:val="single" w:sz="6" w:space="0" w:color="000000"/>
              <w:right w:val="single" w:sz="6" w:space="0" w:color="000000"/>
            </w:tcBorders>
            <w:vAlign w:val="center"/>
          </w:tcPr>
          <w:p>
            <w:pPr>
              <w:pStyle w:val="20"/>
            </w:pPr>
            <w:r>
              <w:t>通过科学编制预算，严格遵守各项规章制度，提高财政资金的使用效率，做到节俭高效。</w:t>
            </w:r>
          </w:p>
        </w:tc>
        <w:tc>
          <w:tcPr>
            <w:tcW w:w="2268" w:type="dxa"/>
            <w:tcBorders>
              <w:top w:val="single" w:sz="6" w:space="0" w:color="000000"/>
              <w:left w:val="single" w:sz="6" w:space="0" w:color="000000"/>
              <w:right w:val="single" w:sz="6" w:space="0" w:color="000000"/>
            </w:tcBorders>
            <w:vAlign w:val="center"/>
          </w:tcPr>
          <w:p>
            <w:pPr>
              <w:pStyle w:val="20"/>
            </w:pPr>
            <w:r>
              <w:t>较上一年提高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保持工作稳定、持续开展实现率</w:t>
            </w:r>
          </w:p>
        </w:tc>
        <w:tc>
          <w:tcPr>
            <w:tcW w:w="5386" w:type="dxa"/>
            <w:tcBorders>
              <w:top w:val="single" w:sz="6" w:space="0" w:color="000000"/>
              <w:left w:val="single" w:sz="6" w:space="0" w:color="000000"/>
              <w:right w:val="single" w:sz="6" w:space="0" w:color="000000"/>
            </w:tcBorders>
            <w:vAlign w:val="center"/>
          </w:tcPr>
          <w:p>
            <w:pPr>
              <w:pStyle w:val="20"/>
            </w:pPr>
            <w:r>
              <w:t>有效保证业务工作顺利开展</w:t>
            </w:r>
          </w:p>
        </w:tc>
        <w:tc>
          <w:tcPr>
            <w:tcW w:w="2268" w:type="dxa"/>
            <w:tcBorders>
              <w:top w:val="single" w:sz="6" w:space="0" w:color="000000"/>
              <w:left w:val="single" w:sz="6" w:space="0" w:color="000000"/>
              <w:right w:val="single" w:sz="6" w:space="0" w:color="000000"/>
            </w:tcBorders>
            <w:vAlign w:val="center"/>
          </w:tcPr>
          <w:p>
            <w:pPr>
              <w:pStyle w:val="20"/>
            </w:pPr>
            <w:r>
              <w:t>较上年有效保证业务工作顺利开展</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w:t>
            </w:r>
          </w:p>
        </w:tc>
        <w:tc>
          <w:tcPr>
            <w:tcW w:w="5386" w:type="dxa"/>
            <w:tcBorders>
              <w:top w:val="single" w:sz="6" w:space="0" w:color="000000"/>
              <w:left w:val="single" w:sz="6" w:space="0" w:color="000000"/>
              <w:right w:val="single" w:sz="6" w:space="0" w:color="000000"/>
            </w:tcBorders>
            <w:vAlign w:val="center"/>
          </w:tcPr>
          <w:p>
            <w:pPr>
              <w:pStyle w:val="20"/>
            </w:pPr>
            <w:r>
              <w:t>厉行节约，降低能耗，实现绿色办公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业务工作可持续性</w:t>
            </w:r>
          </w:p>
        </w:tc>
        <w:tc>
          <w:tcPr>
            <w:tcW w:w="5386" w:type="dxa"/>
            <w:tcBorders>
              <w:top w:val="single" w:sz="6" w:space="0" w:color="000000"/>
              <w:left w:val="single" w:sz="6" w:space="0" w:color="000000"/>
              <w:right w:val="single" w:sz="6" w:space="0" w:color="000000"/>
            </w:tcBorders>
            <w:vAlign w:val="center"/>
          </w:tcPr>
          <w:p>
            <w:pPr>
              <w:pStyle w:val="20"/>
            </w:pPr>
            <w:r>
              <w:t>保障日常工作的有序运转年限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服务对象满意度指标</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通过问卷调查，满意和较满意的受益对象占全部调研对象的比例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8、冀财教【2025】111号2026年国家文物保护专项资金</w:t>
        <w:tab/>
        <w:tab/>
      </w:r>
    </w:p>
    <w:p>
      <w:pPr>
        <w:spacing w:before="0" w:after="0"/>
        <w:ind w:firstLine="560"/>
        <w:jc w:val="left"/>
        <w:outlineLvl w:val="9"/>
      </w:pPr>
      <w:r>
        <w:rPr>
          <w:rFonts w:ascii="方正仿宋_GBK" w:eastAsia="方正仿宋_GBK" w:cs="方正仿宋_GBK" w:hAnsi="方正仿宋_GBK"/>
          <w:color w:val="000000"/>
          <w:sz w:val="28"/>
        </w:rPr>
        <w:t>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13032226P00217510003N</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冀财教【2025】111号2026年国家文物保护专项资金</w:t>
              <w:tab/>
              <w:tab/>
            </w:r>
          </w:p>
          <w:p>
            <w:pPr>
              <w:pStyle w:val="20"/>
            </w:pP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92.00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92.00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昌黎县文保所馆藏文物预防性保护</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82%</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1.昌黎县文保所馆藏文物预防性保护</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保护文物数量</w:t>
            </w:r>
          </w:p>
        </w:tc>
        <w:tc>
          <w:tcPr>
            <w:tcW w:w="5386" w:type="dxa"/>
            <w:tcBorders>
              <w:top w:val="single" w:sz="6" w:space="0" w:color="000000"/>
              <w:left w:val="single" w:sz="6" w:space="0" w:color="000000"/>
              <w:right w:val="single" w:sz="6" w:space="0" w:color="000000"/>
            </w:tcBorders>
            <w:vAlign w:val="center"/>
          </w:tcPr>
          <w:p>
            <w:pPr>
              <w:pStyle w:val="20"/>
            </w:pPr>
            <w:r>
              <w:t>保护馆藏文物数量</w:t>
            </w:r>
          </w:p>
        </w:tc>
        <w:tc>
          <w:tcPr>
            <w:tcW w:w="2268" w:type="dxa"/>
            <w:tcBorders>
              <w:top w:val="single" w:sz="6" w:space="0" w:color="000000"/>
              <w:left w:val="single" w:sz="6" w:space="0" w:color="000000"/>
              <w:right w:val="single" w:sz="6" w:space="0" w:color="000000"/>
            </w:tcBorders>
            <w:vAlign w:val="center"/>
          </w:tcPr>
          <w:p>
            <w:pPr>
              <w:pStyle w:val="20"/>
            </w:pPr>
            <w:r>
              <w:t>1228件</w:t>
            </w:r>
          </w:p>
        </w:tc>
        <w:tc>
          <w:tcPr>
            <w:tcW w:w="1276" w:type="dxa"/>
            <w:vAlign w:val="center"/>
          </w:tcPr>
          <w:p>
            <w:pPr>
              <w:pStyle w:val="20"/>
            </w:pPr>
            <w:r>
              <w:t>文物保护要求</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文物损坏发生率</w:t>
            </w:r>
          </w:p>
        </w:tc>
        <w:tc>
          <w:tcPr>
            <w:tcW w:w="5386" w:type="dxa"/>
            <w:tcBorders>
              <w:top w:val="single" w:sz="6" w:space="0" w:color="000000"/>
              <w:left w:val="single" w:sz="6" w:space="0" w:color="000000"/>
              <w:right w:val="single" w:sz="6" w:space="0" w:color="000000"/>
            </w:tcBorders>
            <w:vAlign w:val="center"/>
          </w:tcPr>
          <w:p>
            <w:pPr>
              <w:pStyle w:val="20"/>
            </w:pPr>
            <w:r>
              <w:t>文物损坏发生率</w:t>
            </w:r>
          </w:p>
        </w:tc>
        <w:tc>
          <w:tcPr>
            <w:tcW w:w="2268" w:type="dxa"/>
            <w:tcBorders>
              <w:top w:val="single" w:sz="6" w:space="0" w:color="000000"/>
              <w:left w:val="single" w:sz="6" w:space="0" w:color="000000"/>
              <w:right w:val="single" w:sz="6" w:space="0" w:color="000000"/>
            </w:tcBorders>
            <w:vAlign w:val="center"/>
          </w:tcPr>
          <w:p>
            <w:pPr>
              <w:pStyle w:val="20"/>
            </w:pPr>
            <w:r>
              <w:t>≤1%</w:t>
            </w:r>
          </w:p>
        </w:tc>
        <w:tc>
          <w:tcPr>
            <w:tcW w:w="1276" w:type="dxa"/>
            <w:vAlign w:val="center"/>
          </w:tcPr>
          <w:p>
            <w:pPr>
              <w:pStyle w:val="20"/>
            </w:pPr>
            <w:r>
              <w:t>文物保护要求</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按期完成</w:t>
            </w:r>
          </w:p>
        </w:tc>
        <w:tc>
          <w:tcPr>
            <w:tcW w:w="5386" w:type="dxa"/>
            <w:tcBorders>
              <w:top w:val="single" w:sz="6" w:space="0" w:color="000000"/>
              <w:left w:val="single" w:sz="6" w:space="0" w:color="000000"/>
              <w:right w:val="single" w:sz="6" w:space="0" w:color="000000"/>
            </w:tcBorders>
            <w:vAlign w:val="center"/>
          </w:tcPr>
          <w:p>
            <w:pPr>
              <w:pStyle w:val="20"/>
            </w:pPr>
            <w:r>
              <w:t>工作按期完成率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文物保护要求</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严格控制成本</w:t>
            </w:r>
          </w:p>
        </w:tc>
        <w:tc>
          <w:tcPr>
            <w:tcW w:w="5386" w:type="dxa"/>
            <w:tcBorders>
              <w:top w:val="single" w:sz="6" w:space="0" w:color="000000"/>
              <w:left w:val="single" w:sz="6" w:space="0" w:color="000000"/>
              <w:right w:val="single" w:sz="6" w:space="0" w:color="000000"/>
            </w:tcBorders>
            <w:vAlign w:val="center"/>
          </w:tcPr>
          <w:p>
            <w:pPr>
              <w:pStyle w:val="20"/>
            </w:pPr>
            <w:r>
              <w:t>严格控制成本，不超预算</w:t>
            </w:r>
          </w:p>
        </w:tc>
        <w:tc>
          <w:tcPr>
            <w:tcW w:w="2268" w:type="dxa"/>
            <w:tcBorders>
              <w:top w:val="single" w:sz="6" w:space="0" w:color="000000"/>
              <w:left w:val="single" w:sz="6" w:space="0" w:color="000000"/>
              <w:right w:val="single" w:sz="6" w:space="0" w:color="000000"/>
            </w:tcBorders>
            <w:vAlign w:val="center"/>
          </w:tcPr>
          <w:p>
            <w:pPr>
              <w:pStyle w:val="20"/>
            </w:pPr>
            <w:r>
              <w:t>≤92万元</w:t>
            </w:r>
          </w:p>
        </w:tc>
        <w:tc>
          <w:tcPr>
            <w:tcW w:w="1276" w:type="dxa"/>
            <w:vAlign w:val="center"/>
          </w:tcPr>
          <w:p>
            <w:pPr>
              <w:pStyle w:val="20"/>
            </w:pPr>
            <w:r>
              <w:t>文物保护要求</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保护文物价值</w:t>
            </w:r>
          </w:p>
        </w:tc>
        <w:tc>
          <w:tcPr>
            <w:tcW w:w="5386" w:type="dxa"/>
            <w:tcBorders>
              <w:top w:val="single" w:sz="6" w:space="0" w:color="000000"/>
              <w:left w:val="single" w:sz="6" w:space="0" w:color="000000"/>
              <w:right w:val="single" w:sz="6" w:space="0" w:color="000000"/>
            </w:tcBorders>
            <w:vAlign w:val="center"/>
          </w:tcPr>
          <w:p>
            <w:pPr>
              <w:pStyle w:val="20"/>
            </w:pPr>
            <w:r>
              <w:t>保护文物价值</w:t>
            </w:r>
          </w:p>
        </w:tc>
        <w:tc>
          <w:tcPr>
            <w:tcW w:w="2268" w:type="dxa"/>
            <w:tcBorders>
              <w:top w:val="single" w:sz="6" w:space="0" w:color="000000"/>
              <w:left w:val="single" w:sz="6" w:space="0" w:color="000000"/>
              <w:right w:val="single" w:sz="6" w:space="0" w:color="000000"/>
            </w:tcBorders>
            <w:vAlign w:val="center"/>
          </w:tcPr>
          <w:p>
            <w:pPr>
              <w:pStyle w:val="20"/>
            </w:pPr>
            <w:r>
              <w:t>改善文物保管条件</w:t>
            </w:r>
          </w:p>
        </w:tc>
        <w:tc>
          <w:tcPr>
            <w:tcW w:w="1276" w:type="dxa"/>
            <w:vAlign w:val="center"/>
          </w:tcPr>
          <w:p>
            <w:pPr>
              <w:pStyle w:val="20"/>
            </w:pPr>
            <w:r>
              <w:t>文物保护要求</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提升文物保护水平</w:t>
            </w:r>
          </w:p>
        </w:tc>
        <w:tc>
          <w:tcPr>
            <w:tcW w:w="5386" w:type="dxa"/>
            <w:tcBorders>
              <w:top w:val="single" w:sz="6" w:space="0" w:color="000000"/>
              <w:left w:val="single" w:sz="6" w:space="0" w:color="000000"/>
              <w:right w:val="single" w:sz="6" w:space="0" w:color="000000"/>
            </w:tcBorders>
            <w:vAlign w:val="center"/>
          </w:tcPr>
          <w:p>
            <w:pPr>
              <w:pStyle w:val="20"/>
            </w:pPr>
            <w:r>
              <w:t>提升文物保护水平，增强文物保护意识</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文物保护要求</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文物生态环境</w:t>
            </w:r>
          </w:p>
        </w:tc>
        <w:tc>
          <w:tcPr>
            <w:tcW w:w="5386" w:type="dxa"/>
            <w:tcBorders>
              <w:top w:val="single" w:sz="6" w:space="0" w:color="000000"/>
              <w:left w:val="single" w:sz="6" w:space="0" w:color="000000"/>
              <w:right w:val="single" w:sz="6" w:space="0" w:color="000000"/>
            </w:tcBorders>
            <w:vAlign w:val="center"/>
          </w:tcPr>
          <w:p>
            <w:pPr>
              <w:pStyle w:val="20"/>
            </w:pPr>
            <w:r>
              <w:t>以文物的生态保护为原则，改善文物周边环境</w:t>
            </w:r>
          </w:p>
        </w:tc>
        <w:tc>
          <w:tcPr>
            <w:tcW w:w="2268" w:type="dxa"/>
            <w:tcBorders>
              <w:top w:val="single" w:sz="6" w:space="0" w:color="000000"/>
              <w:left w:val="single" w:sz="6" w:space="0" w:color="000000"/>
              <w:right w:val="single" w:sz="6" w:space="0" w:color="000000"/>
            </w:tcBorders>
            <w:vAlign w:val="center"/>
          </w:tcPr>
          <w:p>
            <w:pPr>
              <w:pStyle w:val="20"/>
            </w:pPr>
            <w:r>
              <w:t>较上年提升文物周边环境</w:t>
            </w:r>
          </w:p>
        </w:tc>
        <w:tc>
          <w:tcPr>
            <w:tcW w:w="1276" w:type="dxa"/>
            <w:vAlign w:val="center"/>
          </w:tcPr>
          <w:p>
            <w:pPr>
              <w:pStyle w:val="20"/>
            </w:pPr>
            <w:r>
              <w:t>文物保护要求</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对中华优秀传统文化传承影响</w:t>
            </w:r>
          </w:p>
        </w:tc>
        <w:tc>
          <w:tcPr>
            <w:tcW w:w="5386" w:type="dxa"/>
            <w:tcBorders>
              <w:top w:val="single" w:sz="6" w:space="0" w:color="000000"/>
              <w:left w:val="single" w:sz="6" w:space="0" w:color="000000"/>
              <w:right w:val="single" w:sz="6" w:space="0" w:color="000000"/>
            </w:tcBorders>
            <w:vAlign w:val="center"/>
          </w:tcPr>
          <w:p>
            <w:pPr>
              <w:pStyle w:val="20"/>
            </w:pPr>
            <w:r>
              <w:t>对中华优秀传统文化传承影响</w:t>
            </w:r>
          </w:p>
        </w:tc>
        <w:tc>
          <w:tcPr>
            <w:tcW w:w="2268" w:type="dxa"/>
            <w:tcBorders>
              <w:top w:val="single" w:sz="6" w:space="0" w:color="000000"/>
              <w:left w:val="single" w:sz="6" w:space="0" w:color="000000"/>
              <w:right w:val="single" w:sz="6" w:space="0" w:color="000000"/>
            </w:tcBorders>
            <w:vAlign w:val="center"/>
          </w:tcPr>
          <w:p>
            <w:pPr>
              <w:pStyle w:val="20"/>
            </w:pPr>
            <w:r>
              <w:t>可持续</w:t>
            </w:r>
          </w:p>
        </w:tc>
        <w:tc>
          <w:tcPr>
            <w:tcW w:w="1276" w:type="dxa"/>
            <w:vAlign w:val="center"/>
          </w:tcPr>
          <w:p>
            <w:pPr>
              <w:pStyle w:val="20"/>
            </w:pPr>
            <w:r>
              <w:t>文物保护要求</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保护单位对文物保护满意度</w:t>
            </w:r>
          </w:p>
        </w:tc>
        <w:tc>
          <w:tcPr>
            <w:tcW w:w="5386" w:type="dxa"/>
            <w:tcBorders>
              <w:top w:val="single" w:sz="6" w:space="0" w:color="000000"/>
              <w:left w:val="single" w:sz="6" w:space="0" w:color="000000"/>
              <w:right w:val="single" w:sz="6" w:space="0" w:color="000000"/>
            </w:tcBorders>
            <w:vAlign w:val="center"/>
          </w:tcPr>
          <w:p>
            <w:pPr>
              <w:pStyle w:val="20"/>
            </w:pPr>
            <w:r>
              <w:t>保护单位对文物保护满意度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9、冀财教【2025】115号2026年中央支持地方公共文化服务体系建设补助资金绩效目标表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13032226P00217710035W</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冀财教【2025】115号2026年中央支持地方公共文化服务体系建设补助资金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主要用于博物馆维修维护，改善博物馆参观环境</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82%</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1.主要用于博物馆维修维护，改善博物馆参观环境</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博物馆维修维护</w:t>
            </w:r>
          </w:p>
        </w:tc>
        <w:tc>
          <w:tcPr>
            <w:tcW w:w="5386" w:type="dxa"/>
            <w:tcBorders>
              <w:top w:val="single" w:sz="6" w:space="0" w:color="000000"/>
              <w:left w:val="single" w:sz="6" w:space="0" w:color="000000"/>
              <w:right w:val="single" w:sz="6" w:space="0" w:color="000000"/>
            </w:tcBorders>
            <w:vAlign w:val="center"/>
          </w:tcPr>
          <w:p>
            <w:pPr>
              <w:pStyle w:val="20"/>
            </w:pPr>
            <w:r>
              <w:t>博物馆维修维护面积</w:t>
            </w:r>
          </w:p>
        </w:tc>
        <w:tc>
          <w:tcPr>
            <w:tcW w:w="2268" w:type="dxa"/>
            <w:tcBorders>
              <w:top w:val="single" w:sz="6" w:space="0" w:color="000000"/>
              <w:left w:val="single" w:sz="6" w:space="0" w:color="000000"/>
              <w:right w:val="single" w:sz="6" w:space="0" w:color="000000"/>
            </w:tcBorders>
            <w:vAlign w:val="center"/>
          </w:tcPr>
          <w:p>
            <w:pPr>
              <w:pStyle w:val="20"/>
            </w:pPr>
            <w:r>
              <w:t>≥100平方米</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工程合规率</w:t>
            </w:r>
          </w:p>
        </w:tc>
        <w:tc>
          <w:tcPr>
            <w:tcW w:w="5386" w:type="dxa"/>
            <w:tcBorders>
              <w:top w:val="single" w:sz="6" w:space="0" w:color="000000"/>
              <w:left w:val="single" w:sz="6" w:space="0" w:color="000000"/>
              <w:right w:val="single" w:sz="6" w:space="0" w:color="000000"/>
            </w:tcBorders>
            <w:vAlign w:val="center"/>
          </w:tcPr>
          <w:p>
            <w:pPr>
              <w:pStyle w:val="20"/>
            </w:pPr>
            <w:r>
              <w:t>工程符合验收要求</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工程按期完工率</w:t>
            </w:r>
          </w:p>
        </w:tc>
        <w:tc>
          <w:tcPr>
            <w:tcW w:w="5386" w:type="dxa"/>
            <w:tcBorders>
              <w:top w:val="single" w:sz="6" w:space="0" w:color="000000"/>
              <w:left w:val="single" w:sz="6" w:space="0" w:color="000000"/>
              <w:right w:val="single" w:sz="6" w:space="0" w:color="000000"/>
            </w:tcBorders>
            <w:vAlign w:val="center"/>
          </w:tcPr>
          <w:p>
            <w:pPr>
              <w:pStyle w:val="20"/>
            </w:pPr>
            <w:r>
              <w:t>工程按照工作计划按时完工率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严格控制成本</w:t>
            </w:r>
          </w:p>
        </w:tc>
        <w:tc>
          <w:tcPr>
            <w:tcW w:w="5386" w:type="dxa"/>
            <w:tcBorders>
              <w:top w:val="single" w:sz="6" w:space="0" w:color="000000"/>
              <w:left w:val="single" w:sz="6" w:space="0" w:color="000000"/>
              <w:right w:val="single" w:sz="6" w:space="0" w:color="000000"/>
            </w:tcBorders>
            <w:vAlign w:val="center"/>
          </w:tcPr>
          <w:p>
            <w:pPr>
              <w:pStyle w:val="20"/>
            </w:pPr>
            <w:r>
              <w:t>严格控制成本，不超预算</w:t>
            </w:r>
          </w:p>
        </w:tc>
        <w:tc>
          <w:tcPr>
            <w:tcW w:w="2268" w:type="dxa"/>
            <w:tcBorders>
              <w:top w:val="single" w:sz="6" w:space="0" w:color="000000"/>
              <w:left w:val="single" w:sz="6" w:space="0" w:color="000000"/>
              <w:right w:val="single" w:sz="6" w:space="0" w:color="000000"/>
            </w:tcBorders>
            <w:vAlign w:val="center"/>
          </w:tcPr>
          <w:p>
            <w:pPr>
              <w:pStyle w:val="20"/>
            </w:pPr>
            <w:r>
              <w:t>≤10万元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带动其他相关消费项目增收情况</w:t>
            </w:r>
          </w:p>
        </w:tc>
        <w:tc>
          <w:tcPr>
            <w:tcW w:w="5386" w:type="dxa"/>
            <w:tcBorders>
              <w:top w:val="single" w:sz="6" w:space="0" w:color="000000"/>
              <w:left w:val="single" w:sz="6" w:space="0" w:color="000000"/>
              <w:right w:val="single" w:sz="6" w:space="0" w:color="000000"/>
            </w:tcBorders>
            <w:vAlign w:val="center"/>
          </w:tcPr>
          <w:p>
            <w:pPr>
              <w:pStyle w:val="20"/>
            </w:pPr>
            <w:r>
              <w:t>带动周边经济发展</w:t>
            </w:r>
          </w:p>
        </w:tc>
        <w:tc>
          <w:tcPr>
            <w:tcW w:w="2268" w:type="dxa"/>
            <w:tcBorders>
              <w:top w:val="single" w:sz="6" w:space="0" w:color="000000"/>
              <w:left w:val="single" w:sz="6" w:space="0" w:color="000000"/>
              <w:right w:val="single" w:sz="6" w:space="0" w:color="000000"/>
            </w:tcBorders>
            <w:vAlign w:val="center"/>
          </w:tcPr>
          <w:p>
            <w:pPr>
              <w:pStyle w:val="20"/>
            </w:pPr>
            <w:r>
              <w:t>较上年带动周边经济发展</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增强全民文物保护意识</w:t>
            </w:r>
          </w:p>
        </w:tc>
        <w:tc>
          <w:tcPr>
            <w:tcW w:w="5386" w:type="dxa"/>
            <w:tcBorders>
              <w:top w:val="single" w:sz="6" w:space="0" w:color="000000"/>
              <w:left w:val="single" w:sz="6" w:space="0" w:color="000000"/>
              <w:right w:val="single" w:sz="6" w:space="0" w:color="000000"/>
            </w:tcBorders>
            <w:vAlign w:val="center"/>
          </w:tcPr>
          <w:p>
            <w:pPr>
              <w:pStyle w:val="20"/>
            </w:pPr>
            <w:r>
              <w:t>增强全民文物保护意识</w:t>
            </w:r>
          </w:p>
        </w:tc>
        <w:tc>
          <w:tcPr>
            <w:tcW w:w="2268" w:type="dxa"/>
            <w:tcBorders>
              <w:top w:val="single" w:sz="6" w:space="0" w:color="000000"/>
              <w:left w:val="single" w:sz="6" w:space="0" w:color="000000"/>
              <w:right w:val="single" w:sz="6" w:space="0" w:color="000000"/>
            </w:tcBorders>
            <w:vAlign w:val="center"/>
          </w:tcPr>
          <w:p>
            <w:pPr>
              <w:pStyle w:val="20"/>
            </w:pPr>
            <w:r>
              <w:t>文物保护意识较上年增强</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文物生态环境</w:t>
            </w:r>
          </w:p>
        </w:tc>
        <w:tc>
          <w:tcPr>
            <w:tcW w:w="5386" w:type="dxa"/>
            <w:tcBorders>
              <w:top w:val="single" w:sz="6" w:space="0" w:color="000000"/>
              <w:left w:val="single" w:sz="6" w:space="0" w:color="000000"/>
              <w:right w:val="single" w:sz="6" w:space="0" w:color="000000"/>
            </w:tcBorders>
            <w:vAlign w:val="center"/>
          </w:tcPr>
          <w:p>
            <w:pPr>
              <w:pStyle w:val="20"/>
            </w:pPr>
            <w:r>
              <w:t>以文物的生态保护为原则，改善文物周边环境</w:t>
            </w:r>
          </w:p>
        </w:tc>
        <w:tc>
          <w:tcPr>
            <w:tcW w:w="2268" w:type="dxa"/>
            <w:tcBorders>
              <w:top w:val="single" w:sz="6" w:space="0" w:color="000000"/>
              <w:left w:val="single" w:sz="6" w:space="0" w:color="000000"/>
              <w:right w:val="single" w:sz="6" w:space="0" w:color="000000"/>
            </w:tcBorders>
            <w:vAlign w:val="center"/>
          </w:tcPr>
          <w:p>
            <w:pPr>
              <w:pStyle w:val="20"/>
            </w:pPr>
            <w:r>
              <w:t>较上年提升文物周边环境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文物传承发展</w:t>
            </w:r>
          </w:p>
        </w:tc>
        <w:tc>
          <w:tcPr>
            <w:tcW w:w="5386" w:type="dxa"/>
            <w:tcBorders>
              <w:top w:val="single" w:sz="6" w:space="0" w:color="000000"/>
              <w:left w:val="single" w:sz="6" w:space="0" w:color="000000"/>
              <w:right w:val="single" w:sz="6" w:space="0" w:color="000000"/>
            </w:tcBorders>
            <w:vAlign w:val="center"/>
          </w:tcPr>
          <w:p>
            <w:pPr>
              <w:pStyle w:val="20"/>
            </w:pPr>
            <w:r>
              <w:t>以文物为载体，不断提高文物的影响力，传承弘扬中华优秀传统文化，培育社会主义核心价值观，凝聚共筑中国梦磅礴力量等方面发挥重要作用。</w:t>
            </w:r>
          </w:p>
        </w:tc>
        <w:tc>
          <w:tcPr>
            <w:tcW w:w="2268" w:type="dxa"/>
            <w:tcBorders>
              <w:top w:val="single" w:sz="6" w:space="0" w:color="000000"/>
              <w:left w:val="single" w:sz="6" w:space="0" w:color="000000"/>
              <w:right w:val="single" w:sz="6" w:space="0" w:color="000000"/>
            </w:tcBorders>
            <w:vAlign w:val="center"/>
          </w:tcPr>
          <w:p>
            <w:pPr>
              <w:pStyle w:val="20"/>
            </w:pPr>
            <w:r>
              <w:t>可传承</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群众对文物保护的满意度</w:t>
            </w:r>
          </w:p>
        </w:tc>
        <w:tc>
          <w:tcPr>
            <w:tcW w:w="5386" w:type="dxa"/>
            <w:tcBorders>
              <w:top w:val="single" w:sz="6" w:space="0" w:color="000000"/>
              <w:left w:val="single" w:sz="6" w:space="0" w:color="000000"/>
              <w:right w:val="single" w:sz="6" w:space="0" w:color="000000"/>
            </w:tcBorders>
            <w:vAlign w:val="center"/>
          </w:tcPr>
          <w:p>
            <w:pPr>
              <w:pStyle w:val="20"/>
            </w:pPr>
            <w:r>
              <w:t>群众对文物保护的满意度</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10、2026年度县级图书馆免费开放资金绩效目标表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13032226P00217210061M</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2026年度县级图书馆免费开放资金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举办读者活动、对馆内消防设施、设备检查测试、支付网络通信服务费等，为图书馆免费开放提供基本保障。</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83%</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1.通过项目实施为全县提供基本公共文化服务，开展业务活动，改善业务活动用房等，确保图书馆免费开放正常运转。</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每年读者进馆人次</w:t>
            </w:r>
          </w:p>
        </w:tc>
        <w:tc>
          <w:tcPr>
            <w:tcW w:w="5386" w:type="dxa"/>
            <w:tcBorders>
              <w:top w:val="single" w:sz="6" w:space="0" w:color="000000"/>
              <w:left w:val="single" w:sz="6" w:space="0" w:color="000000"/>
              <w:right w:val="single" w:sz="6" w:space="0" w:color="000000"/>
            </w:tcBorders>
            <w:vAlign w:val="center"/>
          </w:tcPr>
          <w:p>
            <w:pPr>
              <w:pStyle w:val="20"/>
            </w:pPr>
            <w:r>
              <w:t>每年读者进馆借书、参加活动等人次</w:t>
            </w:r>
          </w:p>
        </w:tc>
        <w:tc>
          <w:tcPr>
            <w:tcW w:w="2268" w:type="dxa"/>
            <w:tcBorders>
              <w:top w:val="single" w:sz="6" w:space="0" w:color="000000"/>
              <w:left w:val="single" w:sz="6" w:space="0" w:color="000000"/>
              <w:right w:val="single" w:sz="6" w:space="0" w:color="000000"/>
            </w:tcBorders>
            <w:vAlign w:val="center"/>
          </w:tcPr>
          <w:p>
            <w:pPr>
              <w:pStyle w:val="20"/>
            </w:pPr>
            <w:r>
              <w:t>≥60000人次</w:t>
            </w:r>
          </w:p>
        </w:tc>
        <w:tc>
          <w:tcPr>
            <w:tcW w:w="1276" w:type="dxa"/>
            <w:vAlign w:val="center"/>
          </w:tcPr>
          <w:p>
            <w:pPr>
              <w:pStyle w:val="20"/>
            </w:pPr>
            <w:r>
              <w:t>历史经验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群众参与人次较上年增长率</w:t>
            </w:r>
          </w:p>
        </w:tc>
        <w:tc>
          <w:tcPr>
            <w:tcW w:w="5386" w:type="dxa"/>
            <w:tcBorders>
              <w:top w:val="single" w:sz="6" w:space="0" w:color="000000"/>
              <w:left w:val="single" w:sz="6" w:space="0" w:color="000000"/>
              <w:right w:val="single" w:sz="6" w:space="0" w:color="000000"/>
            </w:tcBorders>
            <w:vAlign w:val="center"/>
          </w:tcPr>
          <w:p>
            <w:pPr>
              <w:pStyle w:val="20"/>
            </w:pPr>
            <w:r>
              <w:t>全年活动参与人数与上年度活动参与人数对比</w:t>
            </w:r>
          </w:p>
        </w:tc>
        <w:tc>
          <w:tcPr>
            <w:tcW w:w="2268" w:type="dxa"/>
            <w:tcBorders>
              <w:top w:val="single" w:sz="6" w:space="0" w:color="000000"/>
              <w:left w:val="single" w:sz="6" w:space="0" w:color="000000"/>
              <w:right w:val="single" w:sz="6" w:space="0" w:color="000000"/>
            </w:tcBorders>
            <w:vAlign w:val="center"/>
          </w:tcPr>
          <w:p>
            <w:pPr>
              <w:pStyle w:val="20"/>
            </w:pPr>
            <w:r>
              <w:t>≥3％</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经费支出及时率</w:t>
            </w:r>
          </w:p>
        </w:tc>
        <w:tc>
          <w:tcPr>
            <w:tcW w:w="5386" w:type="dxa"/>
            <w:tcBorders>
              <w:top w:val="single" w:sz="6" w:space="0" w:color="000000"/>
              <w:left w:val="single" w:sz="6" w:space="0" w:color="000000"/>
              <w:right w:val="single" w:sz="6" w:space="0" w:color="000000"/>
            </w:tcBorders>
            <w:vAlign w:val="center"/>
          </w:tcPr>
          <w:p>
            <w:pPr>
              <w:pStyle w:val="20"/>
            </w:pPr>
            <w:r>
              <w:t>实际支出金额÷计划支出金额*100%</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消防年检费用</w:t>
            </w:r>
          </w:p>
        </w:tc>
        <w:tc>
          <w:tcPr>
            <w:tcW w:w="5386" w:type="dxa"/>
            <w:tcBorders>
              <w:top w:val="single" w:sz="6" w:space="0" w:color="000000"/>
              <w:left w:val="single" w:sz="6" w:space="0" w:color="000000"/>
              <w:right w:val="single" w:sz="6" w:space="0" w:color="000000"/>
            </w:tcBorders>
            <w:vAlign w:val="center"/>
          </w:tcPr>
          <w:p>
            <w:pPr>
              <w:pStyle w:val="20"/>
            </w:pPr>
            <w:r>
              <w:t>消防安全年检所需费用</w:t>
            </w:r>
          </w:p>
        </w:tc>
        <w:tc>
          <w:tcPr>
            <w:tcW w:w="2268" w:type="dxa"/>
            <w:tcBorders>
              <w:top w:val="single" w:sz="6" w:space="0" w:color="000000"/>
              <w:left w:val="single" w:sz="6" w:space="0" w:color="000000"/>
              <w:right w:val="single" w:sz="6" w:space="0" w:color="000000"/>
            </w:tcBorders>
            <w:vAlign w:val="center"/>
          </w:tcPr>
          <w:p>
            <w:pPr>
              <w:pStyle w:val="20"/>
            </w:pPr>
            <w:r>
              <w:t>≤0.5万元</w:t>
            </w:r>
          </w:p>
        </w:tc>
        <w:tc>
          <w:tcPr>
            <w:tcW w:w="1276" w:type="dxa"/>
            <w:vAlign w:val="center"/>
          </w:tcPr>
          <w:p>
            <w:pPr>
              <w:pStyle w:val="20"/>
            </w:pPr>
            <w:r>
              <w:t>合同、协议书等</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提升本地供应商收入</w:t>
            </w:r>
          </w:p>
        </w:tc>
        <w:tc>
          <w:tcPr>
            <w:tcW w:w="5386" w:type="dxa"/>
            <w:tcBorders>
              <w:top w:val="single" w:sz="6" w:space="0" w:color="000000"/>
              <w:left w:val="single" w:sz="6" w:space="0" w:color="000000"/>
              <w:right w:val="single" w:sz="6" w:space="0" w:color="000000"/>
            </w:tcBorders>
            <w:vAlign w:val="center"/>
          </w:tcPr>
          <w:p>
            <w:pPr>
              <w:pStyle w:val="20"/>
            </w:pPr>
            <w:r>
              <w:t>通过活动开展、数字化全馆覆盖、业务用房修缮等产生的费用，提升本地供应商收入</w:t>
            </w:r>
          </w:p>
        </w:tc>
        <w:tc>
          <w:tcPr>
            <w:tcW w:w="2268" w:type="dxa"/>
            <w:tcBorders>
              <w:top w:val="single" w:sz="6" w:space="0" w:color="000000"/>
              <w:left w:val="single" w:sz="6" w:space="0" w:color="000000"/>
              <w:right w:val="single" w:sz="6" w:space="0" w:color="000000"/>
            </w:tcBorders>
            <w:vAlign w:val="center"/>
          </w:tcPr>
          <w:p>
            <w:pPr>
              <w:pStyle w:val="20"/>
            </w:pPr>
            <w:r>
              <w:t>≥3万元</w:t>
            </w:r>
          </w:p>
        </w:tc>
        <w:tc>
          <w:tcPr>
            <w:tcW w:w="1276" w:type="dxa"/>
            <w:vAlign w:val="center"/>
          </w:tcPr>
          <w:p>
            <w:pPr>
              <w:pStyle w:val="20"/>
            </w:pPr>
            <w:r>
              <w:t>工作任务、合同等</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对阅读推广宣传影响程度</w:t>
            </w:r>
          </w:p>
        </w:tc>
        <w:tc>
          <w:tcPr>
            <w:tcW w:w="5386" w:type="dxa"/>
            <w:tcBorders>
              <w:top w:val="single" w:sz="6" w:space="0" w:color="000000"/>
              <w:left w:val="single" w:sz="6" w:space="0" w:color="000000"/>
              <w:right w:val="single" w:sz="6" w:space="0" w:color="000000"/>
            </w:tcBorders>
            <w:vAlign w:val="center"/>
          </w:tcPr>
          <w:p>
            <w:pPr>
              <w:pStyle w:val="20"/>
            </w:pPr>
            <w:r>
              <w:t>通过开展讲座、展览、公益培训、读书分享会等系列活动，培养公众阅读习惯。</w:t>
            </w:r>
          </w:p>
        </w:tc>
        <w:tc>
          <w:tcPr>
            <w:tcW w:w="2268" w:type="dxa"/>
            <w:tcBorders>
              <w:top w:val="single" w:sz="6" w:space="0" w:color="000000"/>
              <w:left w:val="single" w:sz="6" w:space="0" w:color="000000"/>
              <w:right w:val="single" w:sz="6" w:space="0" w:color="000000"/>
            </w:tcBorders>
            <w:vAlign w:val="center"/>
          </w:tcPr>
          <w:p>
            <w:pPr>
              <w:pStyle w:val="20"/>
            </w:pPr>
            <w:r>
              <w:t>活动参与人数和受益群众较上年增加。</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节约资源</w:t>
            </w:r>
          </w:p>
        </w:tc>
        <w:tc>
          <w:tcPr>
            <w:tcW w:w="5386" w:type="dxa"/>
            <w:tcBorders>
              <w:top w:val="single" w:sz="6" w:space="0" w:color="000000"/>
              <w:left w:val="single" w:sz="6" w:space="0" w:color="000000"/>
              <w:right w:val="single" w:sz="6" w:space="0" w:color="000000"/>
            </w:tcBorders>
            <w:vAlign w:val="center"/>
          </w:tcPr>
          <w:p>
            <w:pPr>
              <w:pStyle w:val="20"/>
            </w:pPr>
            <w:r>
              <w:t>节约水、电资源，降低耗能，实现绿色办公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水费、电费单据</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业务工作可持续性</w:t>
            </w:r>
          </w:p>
        </w:tc>
        <w:tc>
          <w:tcPr>
            <w:tcW w:w="5386" w:type="dxa"/>
            <w:tcBorders>
              <w:top w:val="single" w:sz="6" w:space="0" w:color="000000"/>
              <w:left w:val="single" w:sz="6" w:space="0" w:color="000000"/>
              <w:right w:val="single" w:sz="6" w:space="0" w:color="000000"/>
            </w:tcBorders>
            <w:vAlign w:val="center"/>
          </w:tcPr>
          <w:p>
            <w:pPr>
              <w:pStyle w:val="20"/>
            </w:pPr>
            <w:r>
              <w:t>保障日常工作的有序运转年限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读者满意度调查</w:t>
            </w:r>
          </w:p>
        </w:tc>
        <w:tc>
          <w:tcPr>
            <w:tcW w:w="5386" w:type="dxa"/>
            <w:tcBorders>
              <w:top w:val="single" w:sz="6" w:space="0" w:color="000000"/>
              <w:left w:val="single" w:sz="6" w:space="0" w:color="000000"/>
              <w:right w:val="single" w:sz="6" w:space="0" w:color="000000"/>
            </w:tcBorders>
            <w:vAlign w:val="center"/>
          </w:tcPr>
          <w:p>
            <w:pPr>
              <w:pStyle w:val="20"/>
            </w:pPr>
            <w:r>
              <w:t>对图书馆设施设备、馆藏资源、服务内容、服务质量和员工素质等进行问卷调查，满意的人数占调查总人数的比例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11、冀财教[2024]113号关于提前下达2025年中央支持地方公共文化服务体系建设补助资金绩效目标表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13032225P00217710006E</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冀财教[2024]113号关于提前下达2025年中央支持地方公共文化服务体系建设补助资金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公共数字文化软硬件平台建设，配备图书、报刊并免费提供借阅服务等，提供基本公共文化服务等。</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83%</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1.订购报刊、图书，搭建数字化服务平台，满足读者的文化需求，吸引更多市民走进图书馆，提高图书馆的利用率。</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公共数字文化平台建设数量</w:t>
            </w:r>
          </w:p>
        </w:tc>
        <w:tc>
          <w:tcPr>
            <w:tcW w:w="5386" w:type="dxa"/>
            <w:tcBorders>
              <w:top w:val="single" w:sz="6" w:space="0" w:color="000000"/>
              <w:left w:val="single" w:sz="6" w:space="0" w:color="000000"/>
              <w:right w:val="single" w:sz="6" w:space="0" w:color="000000"/>
            </w:tcBorders>
            <w:vAlign w:val="center"/>
          </w:tcPr>
          <w:p>
            <w:pPr>
              <w:pStyle w:val="20"/>
            </w:pPr>
            <w:r>
              <w:t>超星移动图书馆平台更新服务费</w:t>
            </w:r>
          </w:p>
        </w:tc>
        <w:tc>
          <w:tcPr>
            <w:tcW w:w="2268" w:type="dxa"/>
            <w:tcBorders>
              <w:top w:val="single" w:sz="6" w:space="0" w:color="000000"/>
              <w:left w:val="single" w:sz="6" w:space="0" w:color="000000"/>
              <w:right w:val="single" w:sz="6" w:space="0" w:color="000000"/>
            </w:tcBorders>
            <w:vAlign w:val="center"/>
          </w:tcPr>
          <w:p>
            <w:pPr>
              <w:pStyle w:val="20"/>
            </w:pPr>
            <w:r>
              <w:t>2项</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验收合格率</w:t>
            </w:r>
          </w:p>
        </w:tc>
        <w:tc>
          <w:tcPr>
            <w:tcW w:w="5386" w:type="dxa"/>
            <w:tcBorders>
              <w:top w:val="single" w:sz="6" w:space="0" w:color="000000"/>
              <w:left w:val="single" w:sz="6" w:space="0" w:color="000000"/>
              <w:right w:val="single" w:sz="6" w:space="0" w:color="000000"/>
            </w:tcBorders>
            <w:vAlign w:val="center"/>
          </w:tcPr>
          <w:p>
            <w:pPr>
              <w:pStyle w:val="20"/>
            </w:pPr>
            <w:r>
              <w:t>图书、报刊验收合格率</w:t>
            </w:r>
          </w:p>
        </w:tc>
        <w:tc>
          <w:tcPr>
            <w:tcW w:w="2268" w:type="dxa"/>
            <w:tcBorders>
              <w:top w:val="single" w:sz="6" w:space="0" w:color="000000"/>
              <w:left w:val="single" w:sz="6" w:space="0" w:color="000000"/>
              <w:right w:val="single" w:sz="6" w:space="0" w:color="000000"/>
            </w:tcBorders>
            <w:vAlign w:val="center"/>
          </w:tcPr>
          <w:p>
            <w:pPr>
              <w:pStyle w:val="20"/>
            </w:pPr>
            <w:r>
              <w:t>99％</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经费支出及时率</w:t>
            </w:r>
          </w:p>
        </w:tc>
        <w:tc>
          <w:tcPr>
            <w:tcW w:w="5386" w:type="dxa"/>
            <w:tcBorders>
              <w:top w:val="single" w:sz="6" w:space="0" w:color="000000"/>
              <w:left w:val="single" w:sz="6" w:space="0" w:color="000000"/>
              <w:right w:val="single" w:sz="6" w:space="0" w:color="000000"/>
            </w:tcBorders>
            <w:vAlign w:val="center"/>
          </w:tcPr>
          <w:p>
            <w:pPr>
              <w:pStyle w:val="20"/>
            </w:pPr>
            <w:r>
              <w:t>实际支出金额÷计划支出金额*100%。</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服务费成本</w:t>
            </w:r>
          </w:p>
        </w:tc>
        <w:tc>
          <w:tcPr>
            <w:tcW w:w="5386" w:type="dxa"/>
            <w:tcBorders>
              <w:top w:val="single" w:sz="6" w:space="0" w:color="000000"/>
              <w:left w:val="single" w:sz="6" w:space="0" w:color="000000"/>
              <w:right w:val="single" w:sz="6" w:space="0" w:color="000000"/>
            </w:tcBorders>
            <w:vAlign w:val="center"/>
          </w:tcPr>
          <w:p>
            <w:pPr>
              <w:pStyle w:val="20"/>
            </w:pPr>
            <w:r>
              <w:t>实际软件更新服务费成本控制数</w:t>
            </w:r>
          </w:p>
        </w:tc>
        <w:tc>
          <w:tcPr>
            <w:tcW w:w="2268" w:type="dxa"/>
            <w:tcBorders>
              <w:top w:val="single" w:sz="6" w:space="0" w:color="000000"/>
              <w:left w:val="single" w:sz="6" w:space="0" w:color="000000"/>
              <w:right w:val="single" w:sz="6" w:space="0" w:color="000000"/>
            </w:tcBorders>
            <w:vAlign w:val="center"/>
          </w:tcPr>
          <w:p>
            <w:pPr>
              <w:pStyle w:val="20"/>
            </w:pPr>
            <w:r>
              <w:t>≤8万元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提升本地供应商收入</w:t>
            </w:r>
          </w:p>
        </w:tc>
        <w:tc>
          <w:tcPr>
            <w:tcW w:w="5386" w:type="dxa"/>
            <w:tcBorders>
              <w:top w:val="single" w:sz="6" w:space="0" w:color="000000"/>
              <w:left w:val="single" w:sz="6" w:space="0" w:color="000000"/>
              <w:right w:val="single" w:sz="6" w:space="0" w:color="000000"/>
            </w:tcBorders>
            <w:vAlign w:val="center"/>
          </w:tcPr>
          <w:p>
            <w:pPr>
              <w:pStyle w:val="20"/>
            </w:pPr>
            <w:r>
              <w:t>通过购买图书、报刊等</w:t>
            </w:r>
          </w:p>
          <w:p>
            <w:pPr>
              <w:pStyle w:val="20"/>
            </w:pPr>
            <w:r>
              <w:t>，带动本地经济增收</w:t>
            </w:r>
          </w:p>
        </w:tc>
        <w:tc>
          <w:tcPr>
            <w:tcW w:w="2268" w:type="dxa"/>
            <w:tcBorders>
              <w:top w:val="single" w:sz="6" w:space="0" w:color="000000"/>
              <w:left w:val="single" w:sz="6" w:space="0" w:color="000000"/>
              <w:right w:val="single" w:sz="6" w:space="0" w:color="000000"/>
            </w:tcBorders>
            <w:vAlign w:val="center"/>
          </w:tcPr>
          <w:p>
            <w:pPr>
              <w:pStyle w:val="20"/>
            </w:pPr>
            <w:r>
              <w:t>≥10万元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对阅读推广宣传影响程度</w:t>
            </w:r>
          </w:p>
        </w:tc>
        <w:tc>
          <w:tcPr>
            <w:tcW w:w="5386" w:type="dxa"/>
            <w:tcBorders>
              <w:top w:val="single" w:sz="6" w:space="0" w:color="000000"/>
              <w:left w:val="single" w:sz="6" w:space="0" w:color="000000"/>
              <w:right w:val="single" w:sz="6" w:space="0" w:color="000000"/>
            </w:tcBorders>
            <w:vAlign w:val="center"/>
          </w:tcPr>
          <w:p>
            <w:pPr>
              <w:pStyle w:val="20"/>
            </w:pPr>
            <w:r>
              <w:t>对推进全民阅读、培养阅读习惯的影响程度</w:t>
            </w:r>
          </w:p>
        </w:tc>
        <w:tc>
          <w:tcPr>
            <w:tcW w:w="2268" w:type="dxa"/>
            <w:tcBorders>
              <w:top w:val="single" w:sz="6" w:space="0" w:color="000000"/>
              <w:left w:val="single" w:sz="6" w:space="0" w:color="000000"/>
              <w:right w:val="single" w:sz="6" w:space="0" w:color="000000"/>
            </w:tcBorders>
            <w:vAlign w:val="center"/>
          </w:tcPr>
          <w:p>
            <w:pPr>
              <w:pStyle w:val="20"/>
            </w:pPr>
            <w:r>
              <w:t>全民阅读受益群众较上年增加。</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提升文化服务水平</w:t>
            </w:r>
          </w:p>
        </w:tc>
        <w:tc>
          <w:tcPr>
            <w:tcW w:w="5386" w:type="dxa"/>
            <w:tcBorders>
              <w:top w:val="single" w:sz="6" w:space="0" w:color="000000"/>
              <w:left w:val="single" w:sz="6" w:space="0" w:color="000000"/>
              <w:right w:val="single" w:sz="6" w:space="0" w:color="000000"/>
            </w:tcBorders>
            <w:vAlign w:val="center"/>
          </w:tcPr>
          <w:p>
            <w:pPr>
              <w:pStyle w:val="20"/>
            </w:pPr>
            <w:r>
              <w:t>促进全民阅读，提升公共文化服务均等化，促进我馆各项事业稳步发展</w:t>
            </w:r>
          </w:p>
        </w:tc>
        <w:tc>
          <w:tcPr>
            <w:tcW w:w="2268" w:type="dxa"/>
            <w:tcBorders>
              <w:top w:val="single" w:sz="6" w:space="0" w:color="000000"/>
              <w:left w:val="single" w:sz="6" w:space="0" w:color="000000"/>
              <w:right w:val="single" w:sz="6" w:space="0" w:color="000000"/>
            </w:tcBorders>
            <w:vAlign w:val="center"/>
          </w:tcPr>
          <w:p>
            <w:pPr>
              <w:pStyle w:val="20"/>
            </w:pPr>
            <w:r>
              <w:t>文化服务水平较上年提升。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业务工作可持续性</w:t>
            </w:r>
          </w:p>
        </w:tc>
        <w:tc>
          <w:tcPr>
            <w:tcW w:w="5386" w:type="dxa"/>
            <w:tcBorders>
              <w:top w:val="single" w:sz="6" w:space="0" w:color="000000"/>
              <w:left w:val="single" w:sz="6" w:space="0" w:color="000000"/>
              <w:right w:val="single" w:sz="6" w:space="0" w:color="000000"/>
            </w:tcBorders>
            <w:vAlign w:val="center"/>
          </w:tcPr>
          <w:p>
            <w:pPr>
              <w:pStyle w:val="20"/>
            </w:pPr>
            <w:r>
              <w:t>图书馆免费开放各项服务正常运转</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读者满意度调查</w:t>
            </w:r>
          </w:p>
        </w:tc>
        <w:tc>
          <w:tcPr>
            <w:tcW w:w="5386" w:type="dxa"/>
            <w:tcBorders>
              <w:top w:val="single" w:sz="6" w:space="0" w:color="000000"/>
              <w:left w:val="single" w:sz="6" w:space="0" w:color="000000"/>
              <w:right w:val="single" w:sz="6" w:space="0" w:color="000000"/>
            </w:tcBorders>
            <w:vAlign w:val="center"/>
          </w:tcPr>
          <w:p>
            <w:pPr>
              <w:pStyle w:val="20"/>
            </w:pPr>
            <w:r>
              <w:t>对图书馆设施设备、馆藏资源、服务内容、服务质量和员工素质等进行问卷调查，满意的人数占调查总人数的比例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12、冀财教[2025]44号关于下达2025年中央支持地方公共文化服务体系建设补助资金预算的通知—图书馆免费开放绩效目标表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13032225P00217210082J</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冀财教[2025]44号关于下达2025年中央支持地方公共文化服务体系建设补助资金预算的通知—图书馆免费开放</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2.32</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2.32</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举办公益性讲座、展览，开展阅读推广、宣传活动等。</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83%</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1.提供基本公共文化服务，开展业务活动，改善业务活动用房等，确保图书馆免费开放正常运转。</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服务读者人次</w:t>
            </w:r>
          </w:p>
        </w:tc>
        <w:tc>
          <w:tcPr>
            <w:tcW w:w="5386" w:type="dxa"/>
            <w:tcBorders>
              <w:top w:val="single" w:sz="6" w:space="0" w:color="000000"/>
              <w:left w:val="single" w:sz="6" w:space="0" w:color="000000"/>
              <w:right w:val="single" w:sz="6" w:space="0" w:color="000000"/>
            </w:tcBorders>
            <w:vAlign w:val="center"/>
          </w:tcPr>
          <w:p>
            <w:pPr>
              <w:pStyle w:val="20"/>
            </w:pPr>
            <w:r>
              <w:t>图书馆开展各类公益讲座、阅读推广活动、公益展览等，服务人次。</w:t>
            </w:r>
          </w:p>
        </w:tc>
        <w:tc>
          <w:tcPr>
            <w:tcW w:w="2268" w:type="dxa"/>
            <w:tcBorders>
              <w:top w:val="single" w:sz="6" w:space="0" w:color="000000"/>
              <w:left w:val="single" w:sz="6" w:space="0" w:color="000000"/>
              <w:right w:val="single" w:sz="6" w:space="0" w:color="000000"/>
            </w:tcBorders>
            <w:vAlign w:val="center"/>
          </w:tcPr>
          <w:p>
            <w:pPr>
              <w:pStyle w:val="20"/>
            </w:pPr>
            <w:r>
              <w:t>≥50000人次</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群众参与人次较上年增长率</w:t>
            </w:r>
          </w:p>
        </w:tc>
        <w:tc>
          <w:tcPr>
            <w:tcW w:w="5386" w:type="dxa"/>
            <w:tcBorders>
              <w:top w:val="single" w:sz="6" w:space="0" w:color="000000"/>
              <w:left w:val="single" w:sz="6" w:space="0" w:color="000000"/>
              <w:right w:val="single" w:sz="6" w:space="0" w:color="000000"/>
            </w:tcBorders>
            <w:vAlign w:val="center"/>
          </w:tcPr>
          <w:p>
            <w:pPr>
              <w:pStyle w:val="20"/>
            </w:pPr>
            <w:r>
              <w:t>全年活动参与人数与上年度活动参与人数对比。</w:t>
            </w:r>
          </w:p>
        </w:tc>
        <w:tc>
          <w:tcPr>
            <w:tcW w:w="2268" w:type="dxa"/>
            <w:tcBorders>
              <w:top w:val="single" w:sz="6" w:space="0" w:color="000000"/>
              <w:left w:val="single" w:sz="6" w:space="0" w:color="000000"/>
              <w:right w:val="single" w:sz="6" w:space="0" w:color="000000"/>
            </w:tcBorders>
            <w:vAlign w:val="center"/>
          </w:tcPr>
          <w:p>
            <w:pPr>
              <w:pStyle w:val="20"/>
            </w:pPr>
            <w:r>
              <w:t>≥3％</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经费支出及时率</w:t>
            </w:r>
          </w:p>
        </w:tc>
        <w:tc>
          <w:tcPr>
            <w:tcW w:w="5386" w:type="dxa"/>
            <w:tcBorders>
              <w:top w:val="single" w:sz="6" w:space="0" w:color="000000"/>
              <w:left w:val="single" w:sz="6" w:space="0" w:color="000000"/>
              <w:right w:val="single" w:sz="6" w:space="0" w:color="000000"/>
            </w:tcBorders>
            <w:vAlign w:val="center"/>
          </w:tcPr>
          <w:p>
            <w:pPr>
              <w:pStyle w:val="20"/>
            </w:pPr>
            <w:r>
              <w:t>实际支出金额÷计划支出金额*100%。</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开展活动需费用</w:t>
            </w:r>
          </w:p>
        </w:tc>
        <w:tc>
          <w:tcPr>
            <w:tcW w:w="5386" w:type="dxa"/>
            <w:tcBorders>
              <w:top w:val="single" w:sz="6" w:space="0" w:color="000000"/>
              <w:left w:val="single" w:sz="6" w:space="0" w:color="000000"/>
              <w:right w:val="single" w:sz="6" w:space="0" w:color="000000"/>
            </w:tcBorders>
            <w:vAlign w:val="center"/>
          </w:tcPr>
          <w:p>
            <w:pPr>
              <w:pStyle w:val="20"/>
            </w:pPr>
            <w:r>
              <w:t>开展各类公益讲座、阅读推广等活动所需费用。</w:t>
            </w:r>
          </w:p>
        </w:tc>
        <w:tc>
          <w:tcPr>
            <w:tcW w:w="2268" w:type="dxa"/>
            <w:tcBorders>
              <w:top w:val="single" w:sz="6" w:space="0" w:color="000000"/>
              <w:left w:val="single" w:sz="6" w:space="0" w:color="000000"/>
              <w:right w:val="single" w:sz="6" w:space="0" w:color="000000"/>
            </w:tcBorders>
            <w:vAlign w:val="center"/>
          </w:tcPr>
          <w:p>
            <w:pPr>
              <w:pStyle w:val="20"/>
            </w:pPr>
            <w:r>
              <w:t>≤2.32万元</w:t>
            </w:r>
          </w:p>
        </w:tc>
        <w:tc>
          <w:tcPr>
            <w:tcW w:w="1276" w:type="dxa"/>
            <w:vAlign w:val="center"/>
          </w:tcPr>
          <w:p>
            <w:pPr>
              <w:pStyle w:val="20"/>
            </w:pPr>
            <w:r>
              <w:t>活动预算、活动方案等</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提升本地供应商收入</w:t>
            </w:r>
          </w:p>
        </w:tc>
        <w:tc>
          <w:tcPr>
            <w:tcW w:w="5386" w:type="dxa"/>
            <w:tcBorders>
              <w:top w:val="single" w:sz="6" w:space="0" w:color="000000"/>
              <w:left w:val="single" w:sz="6" w:space="0" w:color="000000"/>
              <w:right w:val="single" w:sz="6" w:space="0" w:color="000000"/>
            </w:tcBorders>
            <w:vAlign w:val="center"/>
          </w:tcPr>
          <w:p>
            <w:pPr>
              <w:pStyle w:val="20"/>
            </w:pPr>
            <w:r>
              <w:t>通过开展各类公益活动，带动本地供应商增收。</w:t>
            </w:r>
          </w:p>
        </w:tc>
        <w:tc>
          <w:tcPr>
            <w:tcW w:w="2268" w:type="dxa"/>
            <w:tcBorders>
              <w:top w:val="single" w:sz="6" w:space="0" w:color="000000"/>
              <w:left w:val="single" w:sz="6" w:space="0" w:color="000000"/>
              <w:right w:val="single" w:sz="6" w:space="0" w:color="000000"/>
            </w:tcBorders>
            <w:vAlign w:val="center"/>
          </w:tcPr>
          <w:p>
            <w:pPr>
              <w:pStyle w:val="20"/>
            </w:pPr>
            <w:r>
              <w:t>≥2万元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对阅读推广宣传影响程度</w:t>
            </w:r>
          </w:p>
        </w:tc>
        <w:tc>
          <w:tcPr>
            <w:tcW w:w="5386" w:type="dxa"/>
            <w:tcBorders>
              <w:top w:val="single" w:sz="6" w:space="0" w:color="000000"/>
              <w:left w:val="single" w:sz="6" w:space="0" w:color="000000"/>
              <w:right w:val="single" w:sz="6" w:space="0" w:color="000000"/>
            </w:tcBorders>
            <w:vAlign w:val="center"/>
          </w:tcPr>
          <w:p>
            <w:pPr>
              <w:pStyle w:val="20"/>
            </w:pPr>
            <w:r>
              <w:t>通过开展讲座、展览、公益培训、阅读推广等系列活动，培养公众阅读习惯。</w:t>
            </w:r>
          </w:p>
        </w:tc>
        <w:tc>
          <w:tcPr>
            <w:tcW w:w="2268" w:type="dxa"/>
            <w:tcBorders>
              <w:top w:val="single" w:sz="6" w:space="0" w:color="000000"/>
              <w:left w:val="single" w:sz="6" w:space="0" w:color="000000"/>
              <w:right w:val="single" w:sz="6" w:space="0" w:color="000000"/>
            </w:tcBorders>
            <w:vAlign w:val="center"/>
          </w:tcPr>
          <w:p>
            <w:pPr>
              <w:pStyle w:val="20"/>
            </w:pPr>
            <w:r>
              <w:t>活动参与人数和受益群众较上年增加。</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提升文化服务水平</w:t>
            </w:r>
          </w:p>
        </w:tc>
        <w:tc>
          <w:tcPr>
            <w:tcW w:w="5386" w:type="dxa"/>
            <w:tcBorders>
              <w:top w:val="single" w:sz="6" w:space="0" w:color="000000"/>
              <w:left w:val="single" w:sz="6" w:space="0" w:color="000000"/>
              <w:right w:val="single" w:sz="6" w:space="0" w:color="000000"/>
            </w:tcBorders>
            <w:vAlign w:val="center"/>
          </w:tcPr>
          <w:p>
            <w:pPr>
              <w:pStyle w:val="20"/>
            </w:pPr>
            <w:r>
              <w:t>免费开放服务水平稳步提升</w:t>
            </w:r>
          </w:p>
        </w:tc>
        <w:tc>
          <w:tcPr>
            <w:tcW w:w="2268" w:type="dxa"/>
            <w:tcBorders>
              <w:top w:val="single" w:sz="6" w:space="0" w:color="000000"/>
              <w:left w:val="single" w:sz="6" w:space="0" w:color="000000"/>
              <w:right w:val="single" w:sz="6" w:space="0" w:color="000000"/>
            </w:tcBorders>
            <w:vAlign w:val="center"/>
          </w:tcPr>
          <w:p>
            <w:pPr>
              <w:pStyle w:val="20"/>
            </w:pPr>
            <w:r>
              <w:t>文化服务水平较上年提升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业务工作可持续性</w:t>
            </w:r>
          </w:p>
        </w:tc>
        <w:tc>
          <w:tcPr>
            <w:tcW w:w="5386" w:type="dxa"/>
            <w:tcBorders>
              <w:top w:val="single" w:sz="6" w:space="0" w:color="000000"/>
              <w:left w:val="single" w:sz="6" w:space="0" w:color="000000"/>
              <w:right w:val="single" w:sz="6" w:space="0" w:color="000000"/>
            </w:tcBorders>
            <w:vAlign w:val="center"/>
          </w:tcPr>
          <w:p>
            <w:pPr>
              <w:pStyle w:val="20"/>
            </w:pPr>
            <w:r>
              <w:t>图书馆免费开放各项服务正常运转</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读者满意度调查</w:t>
            </w:r>
          </w:p>
        </w:tc>
        <w:tc>
          <w:tcPr>
            <w:tcW w:w="5386" w:type="dxa"/>
            <w:tcBorders>
              <w:top w:val="single" w:sz="6" w:space="0" w:color="000000"/>
              <w:left w:val="single" w:sz="6" w:space="0" w:color="000000"/>
              <w:right w:val="single" w:sz="6" w:space="0" w:color="000000"/>
            </w:tcBorders>
            <w:vAlign w:val="center"/>
          </w:tcPr>
          <w:p>
            <w:pPr>
              <w:pStyle w:val="20"/>
            </w:pPr>
            <w:r>
              <w:t>对图书馆设施设备、馆藏资源、服务内容、服务质量和员工素质等进行问卷调查，满意的人数占调查总人数的比例。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13、冀财教【2025】115号2026年中央支持地方公共文化服务体系建设补助资金绩效目标表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13032226P00217710035W</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冀财教【2025】115号2026年中央支持地方公共文化服务体系建设补助资金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50.00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50.00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用于更新实体纸质资源，支付移动图书馆服务费用，订购报纸刊物，开展文化知识普及活动等。</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83%</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1.用于配备图书、报刊和电子报刊，并免费提供借阅服务；搭建公共数字文化软硬平台、</w:t>
            </w:r>
          </w:p>
          <w:p>
            <w:pPr>
              <w:pStyle w:val="20"/>
            </w:pPr>
            <w:r>
              <w:t>宣传推广公共数字文化服务；开展文化知识普及活动，加快构建现代化公共文化服务体系。</w:t>
              <w:tab/>
              <w:tab/>
              <w:tab/>
              <w:tab/>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新增实体文献资源数量</w:t>
            </w:r>
          </w:p>
        </w:tc>
        <w:tc>
          <w:tcPr>
            <w:tcW w:w="5386" w:type="dxa"/>
            <w:tcBorders>
              <w:top w:val="single" w:sz="6" w:space="0" w:color="000000"/>
              <w:left w:val="single" w:sz="6" w:space="0" w:color="000000"/>
              <w:right w:val="single" w:sz="6" w:space="0" w:color="000000"/>
            </w:tcBorders>
            <w:vAlign w:val="center"/>
          </w:tcPr>
          <w:p>
            <w:pPr>
              <w:pStyle w:val="20"/>
            </w:pPr>
            <w:r>
              <w:t>使用本项目经费采购并完成加工、可供读者节约的纸质图书数量</w:t>
            </w:r>
          </w:p>
        </w:tc>
        <w:tc>
          <w:tcPr>
            <w:tcW w:w="2268" w:type="dxa"/>
            <w:tcBorders>
              <w:top w:val="single" w:sz="6" w:space="0" w:color="000000"/>
              <w:left w:val="single" w:sz="6" w:space="0" w:color="000000"/>
              <w:right w:val="single" w:sz="6" w:space="0" w:color="000000"/>
            </w:tcBorders>
            <w:vAlign w:val="center"/>
          </w:tcPr>
          <w:p>
            <w:pPr>
              <w:pStyle w:val="20"/>
            </w:pPr>
            <w:r>
              <w:t>≥4000册</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文献资源采购合格率</w:t>
            </w:r>
          </w:p>
        </w:tc>
        <w:tc>
          <w:tcPr>
            <w:tcW w:w="5386" w:type="dxa"/>
            <w:tcBorders>
              <w:top w:val="single" w:sz="6" w:space="0" w:color="000000"/>
              <w:left w:val="single" w:sz="6" w:space="0" w:color="000000"/>
              <w:right w:val="single" w:sz="6" w:space="0" w:color="000000"/>
            </w:tcBorders>
            <w:vAlign w:val="center"/>
          </w:tcPr>
          <w:p>
            <w:pPr>
              <w:pStyle w:val="20"/>
            </w:pPr>
            <w:r>
              <w:t>所购图书均为正版，内容、编印质量符合采购标准，无破损等不合格产品</w:t>
            </w:r>
          </w:p>
        </w:tc>
        <w:tc>
          <w:tcPr>
            <w:tcW w:w="2268" w:type="dxa"/>
            <w:tcBorders>
              <w:top w:val="single" w:sz="6" w:space="0" w:color="000000"/>
              <w:left w:val="single" w:sz="6" w:space="0" w:color="000000"/>
              <w:right w:val="single" w:sz="6" w:space="0" w:color="000000"/>
            </w:tcBorders>
            <w:vAlign w:val="center"/>
          </w:tcPr>
          <w:p>
            <w:pPr>
              <w:pStyle w:val="20"/>
            </w:pPr>
            <w:r>
              <w:t>≥99％</w:t>
            </w:r>
          </w:p>
        </w:tc>
        <w:tc>
          <w:tcPr>
            <w:tcW w:w="1276" w:type="dxa"/>
            <w:vAlign w:val="center"/>
          </w:tcPr>
          <w:p>
            <w:pPr>
              <w:pStyle w:val="20"/>
            </w:pPr>
            <w:r>
              <w:t>验收报告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经费支出及时率</w:t>
            </w:r>
          </w:p>
        </w:tc>
        <w:tc>
          <w:tcPr>
            <w:tcW w:w="5386" w:type="dxa"/>
            <w:tcBorders>
              <w:top w:val="single" w:sz="6" w:space="0" w:color="000000"/>
              <w:left w:val="single" w:sz="6" w:space="0" w:color="000000"/>
              <w:right w:val="single" w:sz="6" w:space="0" w:color="000000"/>
            </w:tcBorders>
            <w:vAlign w:val="center"/>
          </w:tcPr>
          <w:p>
            <w:pPr>
              <w:pStyle w:val="20"/>
            </w:pPr>
            <w:r>
              <w:t>实际支出金额÷计划支出金额*100%。</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购书所需经费</w:t>
            </w:r>
          </w:p>
        </w:tc>
        <w:tc>
          <w:tcPr>
            <w:tcW w:w="5386" w:type="dxa"/>
            <w:tcBorders>
              <w:top w:val="single" w:sz="6" w:space="0" w:color="000000"/>
              <w:left w:val="single" w:sz="6" w:space="0" w:color="000000"/>
              <w:right w:val="single" w:sz="6" w:space="0" w:color="000000"/>
            </w:tcBorders>
            <w:vAlign w:val="center"/>
          </w:tcPr>
          <w:p>
            <w:pPr>
              <w:pStyle w:val="20"/>
            </w:pPr>
            <w:r>
              <w:t>控制购买图书所需费用</w:t>
            </w:r>
          </w:p>
        </w:tc>
        <w:tc>
          <w:tcPr>
            <w:tcW w:w="2268" w:type="dxa"/>
            <w:tcBorders>
              <w:top w:val="single" w:sz="6" w:space="0" w:color="000000"/>
              <w:left w:val="single" w:sz="6" w:space="0" w:color="000000"/>
              <w:right w:val="single" w:sz="6" w:space="0" w:color="000000"/>
            </w:tcBorders>
            <w:vAlign w:val="center"/>
          </w:tcPr>
          <w:p>
            <w:pPr>
              <w:pStyle w:val="20"/>
            </w:pPr>
            <w:r>
              <w:t>≤19.8万元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带动相关行业经济增收</w:t>
            </w:r>
          </w:p>
        </w:tc>
        <w:tc>
          <w:tcPr>
            <w:tcW w:w="5386" w:type="dxa"/>
            <w:tcBorders>
              <w:top w:val="single" w:sz="6" w:space="0" w:color="000000"/>
              <w:left w:val="single" w:sz="6" w:space="0" w:color="000000"/>
              <w:right w:val="single" w:sz="6" w:space="0" w:color="000000"/>
            </w:tcBorders>
            <w:vAlign w:val="center"/>
          </w:tcPr>
          <w:p>
            <w:pPr>
              <w:pStyle w:val="20"/>
            </w:pPr>
            <w:r>
              <w:t>通过购买图书、报刊征订、文化知识普及活动、搭建数字图书馆等项目支出，提高相关行业经济收入，带动经济消费</w:t>
            </w:r>
          </w:p>
        </w:tc>
        <w:tc>
          <w:tcPr>
            <w:tcW w:w="2268" w:type="dxa"/>
            <w:tcBorders>
              <w:top w:val="single" w:sz="6" w:space="0" w:color="000000"/>
              <w:left w:val="single" w:sz="6" w:space="0" w:color="000000"/>
              <w:right w:val="single" w:sz="6" w:space="0" w:color="000000"/>
            </w:tcBorders>
            <w:vAlign w:val="center"/>
          </w:tcPr>
          <w:p>
            <w:pPr>
              <w:pStyle w:val="20"/>
            </w:pPr>
            <w:r>
              <w:t>≥30万元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加快构建现代化公共文化服务体系</w:t>
            </w:r>
          </w:p>
        </w:tc>
        <w:tc>
          <w:tcPr>
            <w:tcW w:w="5386" w:type="dxa"/>
            <w:tcBorders>
              <w:top w:val="single" w:sz="6" w:space="0" w:color="000000"/>
              <w:left w:val="single" w:sz="6" w:space="0" w:color="000000"/>
              <w:right w:val="single" w:sz="6" w:space="0" w:color="000000"/>
            </w:tcBorders>
            <w:vAlign w:val="center"/>
          </w:tcPr>
          <w:p>
            <w:pPr>
              <w:pStyle w:val="20"/>
            </w:pPr>
            <w:r>
              <w:t>通过读书看报、开展文化知识普及活动、搭建数字化文化平台、基层公共文化服务人才培养等方法，建设现代化公共文化服务体系。</w:t>
            </w:r>
          </w:p>
        </w:tc>
        <w:tc>
          <w:tcPr>
            <w:tcW w:w="2268" w:type="dxa"/>
            <w:tcBorders>
              <w:top w:val="single" w:sz="6" w:space="0" w:color="000000"/>
              <w:left w:val="single" w:sz="6" w:space="0" w:color="000000"/>
              <w:right w:val="single" w:sz="6" w:space="0" w:color="000000"/>
            </w:tcBorders>
            <w:vAlign w:val="center"/>
          </w:tcPr>
          <w:p>
            <w:pPr>
              <w:pStyle w:val="20"/>
            </w:pPr>
            <w:r>
              <w:t>较上年度影响提高</w:t>
            </w:r>
          </w:p>
        </w:tc>
        <w:tc>
          <w:tcPr>
            <w:tcW w:w="1276" w:type="dxa"/>
            <w:vAlign w:val="center"/>
          </w:tcPr>
          <w:p>
            <w:pPr>
              <w:pStyle w:val="20"/>
            </w:pPr>
            <w:r>
              <w:t>工作总结</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绿色办公，节约资源。</w:t>
            </w:r>
          </w:p>
        </w:tc>
        <w:tc>
          <w:tcPr>
            <w:tcW w:w="5386" w:type="dxa"/>
            <w:tcBorders>
              <w:top w:val="single" w:sz="6" w:space="0" w:color="000000"/>
              <w:left w:val="single" w:sz="6" w:space="0" w:color="000000"/>
              <w:right w:val="single" w:sz="6" w:space="0" w:color="000000"/>
            </w:tcBorders>
            <w:vAlign w:val="center"/>
          </w:tcPr>
          <w:p>
            <w:pPr>
              <w:pStyle w:val="20"/>
            </w:pPr>
            <w:r>
              <w:t>节约水、电资源，低碳出行，降低耗能，实现绿色办公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水电费单据等</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业务工作可持续性</w:t>
            </w:r>
          </w:p>
        </w:tc>
        <w:tc>
          <w:tcPr>
            <w:tcW w:w="5386" w:type="dxa"/>
            <w:tcBorders>
              <w:top w:val="single" w:sz="6" w:space="0" w:color="000000"/>
              <w:left w:val="single" w:sz="6" w:space="0" w:color="000000"/>
              <w:right w:val="single" w:sz="6" w:space="0" w:color="000000"/>
            </w:tcBorders>
            <w:vAlign w:val="center"/>
          </w:tcPr>
          <w:p>
            <w:pPr>
              <w:pStyle w:val="20"/>
            </w:pPr>
            <w:r>
              <w:t>保障日常工作的有序运转年限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读者满意度调查</w:t>
            </w:r>
          </w:p>
        </w:tc>
        <w:tc>
          <w:tcPr>
            <w:tcW w:w="5386" w:type="dxa"/>
            <w:tcBorders>
              <w:top w:val="single" w:sz="6" w:space="0" w:color="000000"/>
              <w:left w:val="single" w:sz="6" w:space="0" w:color="000000"/>
              <w:right w:val="single" w:sz="6" w:space="0" w:color="000000"/>
            </w:tcBorders>
            <w:vAlign w:val="center"/>
          </w:tcPr>
          <w:p>
            <w:pPr>
              <w:pStyle w:val="20"/>
            </w:pPr>
            <w:r>
              <w:t>对图书馆设施设备、馆藏资源、服务内容、服务质量和员工素质等进行问卷调查，满意的人数占调查总人数的比例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14、冀财教【2025】115号2026年中央支持地方公共文化服务体系建设补助资金（免费开放）绩效目标表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13032226P00217210126H</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冀财教【2025】115号2026年中央支持地方公共文化服务体系建设补助资金（免费开放）</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12.00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12.00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用于开展各类阅读推广活动、公益性展览讲座、送书下乡活动等</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83%</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1.提供基本公共文化服务，开展业务活动，改善业务活动用房等，确保图书馆免费开放正常运转。</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文化活动开展场次</w:t>
            </w:r>
          </w:p>
        </w:tc>
        <w:tc>
          <w:tcPr>
            <w:tcW w:w="5386" w:type="dxa"/>
            <w:tcBorders>
              <w:top w:val="single" w:sz="6" w:space="0" w:color="000000"/>
              <w:left w:val="single" w:sz="6" w:space="0" w:color="000000"/>
              <w:right w:val="single" w:sz="6" w:space="0" w:color="000000"/>
            </w:tcBorders>
            <w:vAlign w:val="center"/>
          </w:tcPr>
          <w:p>
            <w:pPr>
              <w:pStyle w:val="20"/>
            </w:pPr>
            <w:r>
              <w:t>开展各类公益讲座、阅读推广活动、公益展览等场次</w:t>
            </w:r>
          </w:p>
        </w:tc>
        <w:tc>
          <w:tcPr>
            <w:tcW w:w="2268" w:type="dxa"/>
            <w:tcBorders>
              <w:top w:val="single" w:sz="6" w:space="0" w:color="000000"/>
              <w:left w:val="single" w:sz="6" w:space="0" w:color="000000"/>
              <w:right w:val="single" w:sz="6" w:space="0" w:color="000000"/>
            </w:tcBorders>
            <w:vAlign w:val="center"/>
          </w:tcPr>
          <w:p>
            <w:pPr>
              <w:pStyle w:val="20"/>
            </w:pPr>
            <w:r>
              <w:t>≥40场次</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活动质量达标率</w:t>
            </w:r>
          </w:p>
        </w:tc>
        <w:tc>
          <w:tcPr>
            <w:tcW w:w="5386" w:type="dxa"/>
            <w:tcBorders>
              <w:top w:val="single" w:sz="6" w:space="0" w:color="000000"/>
              <w:left w:val="single" w:sz="6" w:space="0" w:color="000000"/>
              <w:right w:val="single" w:sz="6" w:space="0" w:color="000000"/>
            </w:tcBorders>
            <w:vAlign w:val="center"/>
          </w:tcPr>
          <w:p>
            <w:pPr>
              <w:pStyle w:val="20"/>
            </w:pPr>
            <w:r>
              <w:t>值每场活动的内容、资料准备、嘉宾资质等均符合公益文化服务标准</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经费支出及时率</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实际支出金额÷计划支出金额*100%。</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开展公益性讲座授课教师费用</w:t>
            </w:r>
          </w:p>
        </w:tc>
        <w:tc>
          <w:tcPr>
            <w:tcW w:w="5386" w:type="dxa"/>
            <w:tcBorders>
              <w:top w:val="single" w:sz="6" w:space="0" w:color="000000"/>
              <w:left w:val="single" w:sz="6" w:space="0" w:color="000000"/>
              <w:right w:val="single" w:sz="6" w:space="0" w:color="000000"/>
            </w:tcBorders>
            <w:vAlign w:val="center"/>
          </w:tcPr>
          <w:p>
            <w:pPr>
              <w:pStyle w:val="20"/>
            </w:pPr>
            <w:r>
              <w:t>副高级技术职称及以下专业人员每学时费用</w:t>
            </w:r>
          </w:p>
        </w:tc>
        <w:tc>
          <w:tcPr>
            <w:tcW w:w="2268" w:type="dxa"/>
            <w:tcBorders>
              <w:top w:val="single" w:sz="6" w:space="0" w:color="000000"/>
              <w:left w:val="single" w:sz="6" w:space="0" w:color="000000"/>
              <w:right w:val="single" w:sz="6" w:space="0" w:color="000000"/>
            </w:tcBorders>
            <w:vAlign w:val="center"/>
          </w:tcPr>
          <w:p>
            <w:pPr>
              <w:pStyle w:val="20"/>
            </w:pPr>
            <w:r>
              <w:t>≤500元</w:t>
            </w:r>
          </w:p>
        </w:tc>
        <w:tc>
          <w:tcPr>
            <w:tcW w:w="1276" w:type="dxa"/>
            <w:vAlign w:val="center"/>
          </w:tcPr>
          <w:p>
            <w:pPr>
              <w:pStyle w:val="20"/>
            </w:pPr>
            <w:r>
              <w:t>培训费管理办法</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通过文化投入带动相关行业经济增收</w:t>
            </w:r>
          </w:p>
        </w:tc>
        <w:tc>
          <w:tcPr>
            <w:tcW w:w="5386" w:type="dxa"/>
            <w:tcBorders>
              <w:top w:val="single" w:sz="6" w:space="0" w:color="000000"/>
              <w:left w:val="single" w:sz="6" w:space="0" w:color="000000"/>
              <w:right w:val="single" w:sz="6" w:space="0" w:color="000000"/>
            </w:tcBorders>
            <w:vAlign w:val="center"/>
          </w:tcPr>
          <w:p>
            <w:pPr>
              <w:pStyle w:val="20"/>
            </w:pPr>
            <w:r>
              <w:t>本指标反应公共文化投入对相关行业发展的带动作用，通过开展文化活动，购买资料、耗材及支付授课教师劳务费，带动相关行业增收。</w:t>
            </w:r>
          </w:p>
        </w:tc>
        <w:tc>
          <w:tcPr>
            <w:tcW w:w="2268" w:type="dxa"/>
            <w:tcBorders>
              <w:top w:val="single" w:sz="6" w:space="0" w:color="000000"/>
              <w:left w:val="single" w:sz="6" w:space="0" w:color="000000"/>
              <w:right w:val="single" w:sz="6" w:space="0" w:color="000000"/>
            </w:tcBorders>
            <w:vAlign w:val="center"/>
          </w:tcPr>
          <w:p>
            <w:pPr>
              <w:pStyle w:val="20"/>
            </w:pPr>
            <w:r>
              <w:t>≥10万元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对阅读推广宣传影响程度</w:t>
            </w:r>
          </w:p>
        </w:tc>
        <w:tc>
          <w:tcPr>
            <w:tcW w:w="5386" w:type="dxa"/>
            <w:tcBorders>
              <w:top w:val="single" w:sz="6" w:space="0" w:color="000000"/>
              <w:left w:val="single" w:sz="6" w:space="0" w:color="000000"/>
              <w:right w:val="single" w:sz="6" w:space="0" w:color="000000"/>
            </w:tcBorders>
            <w:vAlign w:val="center"/>
          </w:tcPr>
          <w:p>
            <w:pPr>
              <w:pStyle w:val="20"/>
            </w:pPr>
            <w:r>
              <w:t>通过开展讲座、展览、公益培训、阅读推广等系列活动，培养公众阅读习惯。</w:t>
            </w:r>
          </w:p>
        </w:tc>
        <w:tc>
          <w:tcPr>
            <w:tcW w:w="2268" w:type="dxa"/>
            <w:tcBorders>
              <w:top w:val="single" w:sz="6" w:space="0" w:color="000000"/>
              <w:left w:val="single" w:sz="6" w:space="0" w:color="000000"/>
              <w:right w:val="single" w:sz="6" w:space="0" w:color="000000"/>
            </w:tcBorders>
            <w:vAlign w:val="center"/>
          </w:tcPr>
          <w:p>
            <w:pPr>
              <w:pStyle w:val="20"/>
            </w:pPr>
            <w:r>
              <w:t>活动参与人数和受益群众较上年增加。</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绿色环保，节约资源</w:t>
            </w:r>
          </w:p>
        </w:tc>
        <w:tc>
          <w:tcPr>
            <w:tcW w:w="5386" w:type="dxa"/>
            <w:tcBorders>
              <w:top w:val="single" w:sz="6" w:space="0" w:color="000000"/>
              <w:left w:val="single" w:sz="6" w:space="0" w:color="000000"/>
              <w:right w:val="single" w:sz="6" w:space="0" w:color="000000"/>
            </w:tcBorders>
            <w:vAlign w:val="center"/>
          </w:tcPr>
          <w:p>
            <w:pPr>
              <w:pStyle w:val="20"/>
            </w:pPr>
            <w:r>
              <w:t>在活动执行和日常办公中使用环保用品，鼓励低碳出行，节约用水用电。</w:t>
            </w:r>
          </w:p>
        </w:tc>
        <w:tc>
          <w:tcPr>
            <w:tcW w:w="2268" w:type="dxa"/>
            <w:tcBorders>
              <w:top w:val="single" w:sz="6" w:space="0" w:color="000000"/>
              <w:left w:val="single" w:sz="6" w:space="0" w:color="000000"/>
              <w:right w:val="single" w:sz="6" w:space="0" w:color="000000"/>
            </w:tcBorders>
            <w:vAlign w:val="center"/>
          </w:tcPr>
          <w:p>
            <w:pPr>
              <w:pStyle w:val="20"/>
            </w:pPr>
            <w:r>
              <w:t>水电费支出较上年节约</w:t>
            </w:r>
          </w:p>
        </w:tc>
        <w:tc>
          <w:tcPr>
            <w:tcW w:w="1276" w:type="dxa"/>
            <w:vAlign w:val="center"/>
          </w:tcPr>
          <w:p>
            <w:pPr>
              <w:pStyle w:val="20"/>
            </w:pPr>
            <w:r>
              <w:t>水电费单据</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业务工作可持续性</w:t>
            </w:r>
          </w:p>
        </w:tc>
        <w:tc>
          <w:tcPr>
            <w:tcW w:w="5386" w:type="dxa"/>
            <w:tcBorders>
              <w:top w:val="single" w:sz="6" w:space="0" w:color="000000"/>
              <w:left w:val="single" w:sz="6" w:space="0" w:color="000000"/>
              <w:right w:val="single" w:sz="6" w:space="0" w:color="000000"/>
            </w:tcBorders>
            <w:vAlign w:val="center"/>
          </w:tcPr>
          <w:p>
            <w:pPr>
              <w:pStyle w:val="20"/>
            </w:pPr>
            <w:r>
              <w:t>周期内图书馆免费开放各项服务正常运转</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读者满意度调查</w:t>
            </w:r>
          </w:p>
        </w:tc>
        <w:tc>
          <w:tcPr>
            <w:tcW w:w="5386" w:type="dxa"/>
            <w:tcBorders>
              <w:top w:val="single" w:sz="6" w:space="0" w:color="000000"/>
              <w:left w:val="single" w:sz="6" w:space="0" w:color="000000"/>
              <w:right w:val="single" w:sz="6" w:space="0" w:color="000000"/>
            </w:tcBorders>
            <w:vAlign w:val="center"/>
          </w:tcPr>
          <w:p>
            <w:pPr>
              <w:pStyle w:val="20"/>
            </w:pPr>
            <w:r>
              <w:t>对图书馆设施设备、馆藏资源、服务内容、服务质量和员工素质等进行问卷调查，满意的人数占调查总人数的比例。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15、冀财教【2025】131号2026年基层三馆一站免费开放运行保障经费绩效目标表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13032226P00217210125X</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冀财教【2025】131号2026年基层三馆一站免费开放运行保障经费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用于支付网络服务费用、开展各类阅读推广活动、公益性讲座等</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83%</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1.保障群众基本文化权益，开展各类文化活动，提升公共数字文化服务水平，确保图书馆免费开放正常运转。</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开展文化活动场次</w:t>
            </w:r>
          </w:p>
        </w:tc>
        <w:tc>
          <w:tcPr>
            <w:tcW w:w="5386" w:type="dxa"/>
            <w:tcBorders>
              <w:top w:val="single" w:sz="6" w:space="0" w:color="000000"/>
              <w:left w:val="single" w:sz="6" w:space="0" w:color="000000"/>
              <w:right w:val="single" w:sz="6" w:space="0" w:color="000000"/>
            </w:tcBorders>
            <w:vAlign w:val="center"/>
          </w:tcPr>
          <w:p>
            <w:pPr>
              <w:pStyle w:val="20"/>
            </w:pPr>
            <w:r>
              <w:t>开展公益性讲座、阅读推广、阅读宣传等活动场次</w:t>
            </w:r>
          </w:p>
        </w:tc>
        <w:tc>
          <w:tcPr>
            <w:tcW w:w="2268" w:type="dxa"/>
            <w:tcBorders>
              <w:top w:val="single" w:sz="6" w:space="0" w:color="000000"/>
              <w:left w:val="single" w:sz="6" w:space="0" w:color="000000"/>
              <w:right w:val="single" w:sz="6" w:space="0" w:color="000000"/>
            </w:tcBorders>
            <w:vAlign w:val="center"/>
          </w:tcPr>
          <w:p>
            <w:pPr>
              <w:pStyle w:val="20"/>
            </w:pPr>
            <w:r>
              <w:t>≥5场</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活动参与人次增长率</w:t>
            </w:r>
          </w:p>
        </w:tc>
        <w:tc>
          <w:tcPr>
            <w:tcW w:w="5386" w:type="dxa"/>
            <w:tcBorders>
              <w:top w:val="single" w:sz="6" w:space="0" w:color="000000"/>
              <w:left w:val="single" w:sz="6" w:space="0" w:color="000000"/>
              <w:right w:val="single" w:sz="6" w:space="0" w:color="000000"/>
            </w:tcBorders>
            <w:vAlign w:val="center"/>
          </w:tcPr>
          <w:p>
            <w:pPr>
              <w:pStyle w:val="20"/>
            </w:pPr>
            <w:r>
              <w:t>阅读推广与公益性讲座全年活动参与人数与上年度活动参与人数对比。</w:t>
            </w:r>
          </w:p>
        </w:tc>
        <w:tc>
          <w:tcPr>
            <w:tcW w:w="2268" w:type="dxa"/>
            <w:tcBorders>
              <w:top w:val="single" w:sz="6" w:space="0" w:color="000000"/>
              <w:left w:val="single" w:sz="6" w:space="0" w:color="000000"/>
              <w:right w:val="single" w:sz="6" w:space="0" w:color="000000"/>
            </w:tcBorders>
            <w:vAlign w:val="center"/>
          </w:tcPr>
          <w:p>
            <w:pPr>
              <w:pStyle w:val="20"/>
            </w:pPr>
            <w:r>
              <w:t>≥3％</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经费支出及时率</w:t>
            </w:r>
          </w:p>
        </w:tc>
        <w:tc>
          <w:tcPr>
            <w:tcW w:w="5386" w:type="dxa"/>
            <w:tcBorders>
              <w:top w:val="single" w:sz="6" w:space="0" w:color="000000"/>
              <w:left w:val="single" w:sz="6" w:space="0" w:color="000000"/>
              <w:right w:val="single" w:sz="6" w:space="0" w:color="000000"/>
            </w:tcBorders>
            <w:vAlign w:val="center"/>
          </w:tcPr>
          <w:p>
            <w:pPr>
              <w:pStyle w:val="20"/>
            </w:pPr>
            <w:r>
              <w:t>实际支出金额÷计划支出金额*100%</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开展活动需费用</w:t>
            </w:r>
          </w:p>
        </w:tc>
        <w:tc>
          <w:tcPr>
            <w:tcW w:w="5386" w:type="dxa"/>
            <w:tcBorders>
              <w:top w:val="single" w:sz="6" w:space="0" w:color="000000"/>
              <w:left w:val="single" w:sz="6" w:space="0" w:color="000000"/>
              <w:right w:val="single" w:sz="6" w:space="0" w:color="000000"/>
            </w:tcBorders>
            <w:vAlign w:val="center"/>
          </w:tcPr>
          <w:p>
            <w:pPr>
              <w:pStyle w:val="20"/>
            </w:pPr>
            <w:r>
              <w:t>开展公益性讲座、阅读推广活动所需费用</w:t>
            </w:r>
          </w:p>
        </w:tc>
        <w:tc>
          <w:tcPr>
            <w:tcW w:w="2268" w:type="dxa"/>
            <w:tcBorders>
              <w:top w:val="single" w:sz="6" w:space="0" w:color="000000"/>
              <w:left w:val="single" w:sz="6" w:space="0" w:color="000000"/>
              <w:right w:val="single" w:sz="6" w:space="0" w:color="000000"/>
            </w:tcBorders>
            <w:vAlign w:val="center"/>
          </w:tcPr>
          <w:p>
            <w:pPr>
              <w:pStyle w:val="20"/>
            </w:pPr>
            <w:r>
              <w:t>≤1.2万元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提升本地供应商收入</w:t>
            </w:r>
          </w:p>
        </w:tc>
        <w:tc>
          <w:tcPr>
            <w:tcW w:w="5386" w:type="dxa"/>
            <w:tcBorders>
              <w:top w:val="single" w:sz="6" w:space="0" w:color="000000"/>
              <w:left w:val="single" w:sz="6" w:space="0" w:color="000000"/>
              <w:right w:val="single" w:sz="6" w:space="0" w:color="000000"/>
            </w:tcBorders>
            <w:vAlign w:val="center"/>
          </w:tcPr>
          <w:p>
            <w:pPr>
              <w:pStyle w:val="20"/>
            </w:pPr>
            <w:r>
              <w:t>本指标反应公共文化投入对相关行业发展的带动作用，通过采购网络通信服务带动本地通信行业收入增长</w:t>
            </w:r>
          </w:p>
        </w:tc>
        <w:tc>
          <w:tcPr>
            <w:tcW w:w="2268" w:type="dxa"/>
            <w:tcBorders>
              <w:top w:val="single" w:sz="6" w:space="0" w:color="000000"/>
              <w:left w:val="single" w:sz="6" w:space="0" w:color="000000"/>
              <w:right w:val="single" w:sz="6" w:space="0" w:color="000000"/>
            </w:tcBorders>
            <w:vAlign w:val="center"/>
          </w:tcPr>
          <w:p>
            <w:pPr>
              <w:pStyle w:val="20"/>
            </w:pPr>
            <w:r>
              <w:t>≥0.72万元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提升公共数字文化服务水平</w:t>
            </w:r>
          </w:p>
        </w:tc>
        <w:tc>
          <w:tcPr>
            <w:tcW w:w="5386" w:type="dxa"/>
            <w:tcBorders>
              <w:top w:val="single" w:sz="6" w:space="0" w:color="000000"/>
              <w:left w:val="single" w:sz="6" w:space="0" w:color="000000"/>
              <w:right w:val="single" w:sz="6" w:space="0" w:color="000000"/>
            </w:tcBorders>
            <w:vAlign w:val="center"/>
          </w:tcPr>
          <w:p>
            <w:pPr>
              <w:pStyle w:val="20"/>
            </w:pPr>
            <w:r>
              <w:t>馆内实现WIFI服务全覆盖，读者可借助多功能机、阅读机查阅资料，体验馆内数字化服务。</w:t>
            </w:r>
          </w:p>
        </w:tc>
        <w:tc>
          <w:tcPr>
            <w:tcW w:w="2268" w:type="dxa"/>
            <w:tcBorders>
              <w:top w:val="single" w:sz="6" w:space="0" w:color="000000"/>
              <w:left w:val="single" w:sz="6" w:space="0" w:color="000000"/>
              <w:right w:val="single" w:sz="6" w:space="0" w:color="000000"/>
            </w:tcBorders>
            <w:vAlign w:val="center"/>
          </w:tcPr>
          <w:p>
            <w:pPr>
              <w:pStyle w:val="20"/>
            </w:pPr>
            <w:r>
              <w:t>数字文化服务水平较上年提高。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提升免费开放服务水平</w:t>
            </w:r>
          </w:p>
        </w:tc>
        <w:tc>
          <w:tcPr>
            <w:tcW w:w="5386" w:type="dxa"/>
            <w:tcBorders>
              <w:top w:val="single" w:sz="6" w:space="0" w:color="000000"/>
              <w:left w:val="single" w:sz="6" w:space="0" w:color="000000"/>
              <w:right w:val="single" w:sz="6" w:space="0" w:color="000000"/>
            </w:tcBorders>
            <w:vAlign w:val="center"/>
          </w:tcPr>
          <w:p>
            <w:pPr>
              <w:pStyle w:val="20"/>
            </w:pPr>
            <w:r>
              <w:t>基本公共文化服务水平稳步提高，保障群众基本文化权益，丰富群众精神文化生活</w:t>
            </w:r>
          </w:p>
        </w:tc>
        <w:tc>
          <w:tcPr>
            <w:tcW w:w="2268" w:type="dxa"/>
            <w:tcBorders>
              <w:top w:val="single" w:sz="6" w:space="0" w:color="000000"/>
              <w:left w:val="single" w:sz="6" w:space="0" w:color="000000"/>
              <w:right w:val="single" w:sz="6" w:space="0" w:color="000000"/>
            </w:tcBorders>
            <w:vAlign w:val="center"/>
          </w:tcPr>
          <w:p>
            <w:pPr>
              <w:pStyle w:val="20"/>
            </w:pPr>
            <w:r>
              <w:t>免费开放服务水平较上年提高。</w:t>
            </w:r>
          </w:p>
        </w:tc>
        <w:tc>
          <w:tcPr>
            <w:tcW w:w="1276" w:type="dxa"/>
            <w:vAlign w:val="center"/>
          </w:tcPr>
          <w:p>
            <w:pPr>
              <w:pStyle w:val="20"/>
            </w:pPr>
            <w:r>
              <w:t>历史经验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业务工作可持续性</w:t>
            </w:r>
          </w:p>
        </w:tc>
        <w:tc>
          <w:tcPr>
            <w:tcW w:w="5386" w:type="dxa"/>
            <w:tcBorders>
              <w:top w:val="single" w:sz="6" w:space="0" w:color="000000"/>
              <w:left w:val="single" w:sz="6" w:space="0" w:color="000000"/>
              <w:right w:val="single" w:sz="6" w:space="0" w:color="000000"/>
            </w:tcBorders>
            <w:vAlign w:val="center"/>
          </w:tcPr>
          <w:p>
            <w:pPr>
              <w:pStyle w:val="20"/>
            </w:pPr>
            <w:r>
              <w:t>周期内保障馆内免费开放服务平稳，各项业务活动正常运转</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读者满意度调查</w:t>
            </w:r>
          </w:p>
        </w:tc>
        <w:tc>
          <w:tcPr>
            <w:tcW w:w="5386" w:type="dxa"/>
            <w:tcBorders>
              <w:top w:val="single" w:sz="6" w:space="0" w:color="000000"/>
              <w:left w:val="single" w:sz="6" w:space="0" w:color="000000"/>
              <w:right w:val="single" w:sz="6" w:space="0" w:color="000000"/>
            </w:tcBorders>
            <w:vAlign w:val="center"/>
          </w:tcPr>
          <w:p>
            <w:pPr>
              <w:pStyle w:val="20"/>
            </w:pPr>
            <w:r>
              <w:t>对图书馆设施设备、馆藏资源、服务内容、服务质量和员工素质等进行问卷调查，满意的人数占调查总人数的比例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16、2026年度县级文化馆免费开放资金绩效目标表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13032226P002172100629</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2026年度县级文化馆免费开放资金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主要用于免费开放电费方面的支出以及改善免费开放活动环境、营造文化氛围和组织开展宣传、普及传统文化（非遗）活动等方面的支出。</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79%</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1.通过开展丰富多彩文化活动营造文化氛围和开展宣传普及传统文化（非遗）演出活动提升群众自我文化底蕴。</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免费开放天数</w:t>
            </w:r>
          </w:p>
        </w:tc>
        <w:tc>
          <w:tcPr>
            <w:tcW w:w="5386" w:type="dxa"/>
            <w:tcBorders>
              <w:top w:val="single" w:sz="6" w:space="0" w:color="000000"/>
              <w:left w:val="single" w:sz="6" w:space="0" w:color="000000"/>
              <w:right w:val="single" w:sz="6" w:space="0" w:color="000000"/>
            </w:tcBorders>
            <w:vAlign w:val="center"/>
          </w:tcPr>
          <w:p>
            <w:pPr>
              <w:pStyle w:val="20"/>
            </w:pPr>
            <w:r>
              <w:t>全年免费开放天数</w:t>
            </w:r>
          </w:p>
        </w:tc>
        <w:tc>
          <w:tcPr>
            <w:tcW w:w="2268" w:type="dxa"/>
            <w:tcBorders>
              <w:top w:val="single" w:sz="6" w:space="0" w:color="000000"/>
              <w:left w:val="single" w:sz="6" w:space="0" w:color="000000"/>
              <w:right w:val="single" w:sz="6" w:space="0" w:color="000000"/>
            </w:tcBorders>
            <w:vAlign w:val="center"/>
          </w:tcPr>
          <w:p>
            <w:pPr>
              <w:pStyle w:val="20"/>
            </w:pPr>
            <w:r>
              <w:t>≥300天</w:t>
            </w:r>
          </w:p>
        </w:tc>
        <w:tc>
          <w:tcPr>
            <w:tcW w:w="1276" w:type="dxa"/>
            <w:vAlign w:val="center"/>
          </w:tcPr>
          <w:p>
            <w:pPr>
              <w:pStyle w:val="20"/>
            </w:pPr>
            <w:r>
              <w:t>根据文化馆（站）免费开放管理意见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免费开放率</w:t>
            </w:r>
          </w:p>
        </w:tc>
        <w:tc>
          <w:tcPr>
            <w:tcW w:w="5386" w:type="dxa"/>
            <w:tcBorders>
              <w:top w:val="single" w:sz="6" w:space="0" w:color="000000"/>
              <w:left w:val="single" w:sz="6" w:space="0" w:color="000000"/>
              <w:right w:val="single" w:sz="6" w:space="0" w:color="000000"/>
            </w:tcBorders>
            <w:vAlign w:val="center"/>
          </w:tcPr>
          <w:p>
            <w:pPr>
              <w:pStyle w:val="20"/>
            </w:pPr>
            <w:r>
              <w:t>免费开放率=免费开放次数/全年免费开放天数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根据文化馆（站）免费开放管理意见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免费开放及时率</w:t>
            </w:r>
          </w:p>
        </w:tc>
        <w:tc>
          <w:tcPr>
            <w:tcW w:w="5386" w:type="dxa"/>
            <w:tcBorders>
              <w:top w:val="single" w:sz="6" w:space="0" w:color="000000"/>
              <w:left w:val="single" w:sz="6" w:space="0" w:color="000000"/>
              <w:right w:val="single" w:sz="6" w:space="0" w:color="000000"/>
            </w:tcBorders>
            <w:vAlign w:val="center"/>
          </w:tcPr>
          <w:p>
            <w:pPr>
              <w:pStyle w:val="20"/>
            </w:pPr>
            <w:r>
              <w:t>免费开放及时率=及时开放次数/全年免费开放天数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根据文化馆（站）免费开放管理意见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免费开放成本</w:t>
            </w:r>
          </w:p>
        </w:tc>
        <w:tc>
          <w:tcPr>
            <w:tcW w:w="5386" w:type="dxa"/>
            <w:tcBorders>
              <w:top w:val="single" w:sz="6" w:space="0" w:color="000000"/>
              <w:left w:val="single" w:sz="6" w:space="0" w:color="000000"/>
              <w:right w:val="single" w:sz="6" w:space="0" w:color="000000"/>
            </w:tcBorders>
            <w:vAlign w:val="center"/>
          </w:tcPr>
          <w:p>
            <w:pPr>
              <w:pStyle w:val="20"/>
            </w:pPr>
            <w:r>
              <w:t>免费开放开展活动所需费用</w:t>
            </w:r>
          </w:p>
        </w:tc>
        <w:tc>
          <w:tcPr>
            <w:tcW w:w="2268" w:type="dxa"/>
            <w:tcBorders>
              <w:top w:val="single" w:sz="6" w:space="0" w:color="000000"/>
              <w:left w:val="single" w:sz="6" w:space="0" w:color="000000"/>
              <w:right w:val="single" w:sz="6" w:space="0" w:color="000000"/>
            </w:tcBorders>
            <w:vAlign w:val="center"/>
          </w:tcPr>
          <w:p>
            <w:pPr>
              <w:pStyle w:val="20"/>
            </w:pPr>
            <w:r>
              <w:t>≤6万元</w:t>
            </w:r>
          </w:p>
        </w:tc>
        <w:tc>
          <w:tcPr>
            <w:tcW w:w="1276" w:type="dxa"/>
            <w:vAlign w:val="center"/>
          </w:tcPr>
          <w:p>
            <w:pPr>
              <w:pStyle w:val="20"/>
            </w:pPr>
            <w:r>
              <w:t>根据文化馆（站）免费开放管理意见</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免费开放服务受益人数</w:t>
            </w:r>
          </w:p>
        </w:tc>
        <w:tc>
          <w:tcPr>
            <w:tcW w:w="5386" w:type="dxa"/>
            <w:tcBorders>
              <w:top w:val="single" w:sz="6" w:space="0" w:color="000000"/>
              <w:left w:val="single" w:sz="6" w:space="0" w:color="000000"/>
              <w:right w:val="single" w:sz="6" w:space="0" w:color="000000"/>
            </w:tcBorders>
            <w:vAlign w:val="center"/>
          </w:tcPr>
          <w:p>
            <w:pPr>
              <w:pStyle w:val="20"/>
            </w:pPr>
            <w:r>
              <w:t>扩大免费开放服务受益人数</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根据文化馆（站）免费开放管理意见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免费开放服务投诉处理效率</w:t>
            </w:r>
          </w:p>
        </w:tc>
        <w:tc>
          <w:tcPr>
            <w:tcW w:w="5386" w:type="dxa"/>
            <w:tcBorders>
              <w:top w:val="single" w:sz="6" w:space="0" w:color="000000"/>
              <w:left w:val="single" w:sz="6" w:space="0" w:color="000000"/>
              <w:right w:val="single" w:sz="6" w:space="0" w:color="000000"/>
            </w:tcBorders>
            <w:vAlign w:val="center"/>
          </w:tcPr>
          <w:p>
            <w:pPr>
              <w:pStyle w:val="20"/>
            </w:pPr>
            <w:r>
              <w:t>免费开放服务接受投诉的处理效率</w:t>
            </w:r>
          </w:p>
        </w:tc>
        <w:tc>
          <w:tcPr>
            <w:tcW w:w="2268" w:type="dxa"/>
            <w:tcBorders>
              <w:top w:val="single" w:sz="6" w:space="0" w:color="000000"/>
              <w:left w:val="single" w:sz="6" w:space="0" w:color="000000"/>
              <w:right w:val="single" w:sz="6" w:space="0" w:color="000000"/>
            </w:tcBorders>
            <w:vAlign w:val="center"/>
          </w:tcPr>
          <w:p>
            <w:pPr>
              <w:pStyle w:val="20"/>
            </w:pPr>
            <w:r>
              <w:t>≤24小时</w:t>
            </w:r>
          </w:p>
        </w:tc>
        <w:tc>
          <w:tcPr>
            <w:tcW w:w="1276" w:type="dxa"/>
            <w:vAlign w:val="center"/>
          </w:tcPr>
          <w:p>
            <w:pPr>
              <w:pStyle w:val="20"/>
            </w:pPr>
            <w:r>
              <w:t>根据文化馆（站）免费开放管理意见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免费开放服务对象数量</w:t>
            </w:r>
          </w:p>
        </w:tc>
        <w:tc>
          <w:tcPr>
            <w:tcW w:w="5386" w:type="dxa"/>
            <w:tcBorders>
              <w:top w:val="single" w:sz="6" w:space="0" w:color="000000"/>
              <w:left w:val="single" w:sz="6" w:space="0" w:color="000000"/>
              <w:right w:val="single" w:sz="6" w:space="0" w:color="000000"/>
            </w:tcBorders>
            <w:vAlign w:val="center"/>
          </w:tcPr>
          <w:p>
            <w:pPr>
              <w:pStyle w:val="20"/>
            </w:pPr>
            <w:r>
              <w:t>免费开放服务对象人数数量</w:t>
            </w:r>
          </w:p>
        </w:tc>
        <w:tc>
          <w:tcPr>
            <w:tcW w:w="2268" w:type="dxa"/>
            <w:tcBorders>
              <w:top w:val="single" w:sz="6" w:space="0" w:color="000000"/>
              <w:left w:val="single" w:sz="6" w:space="0" w:color="000000"/>
              <w:right w:val="single" w:sz="6" w:space="0" w:color="000000"/>
            </w:tcBorders>
            <w:vAlign w:val="center"/>
          </w:tcPr>
          <w:p>
            <w:pPr>
              <w:pStyle w:val="20"/>
            </w:pPr>
            <w:r>
              <w:t>≥20万人次</w:t>
            </w:r>
          </w:p>
        </w:tc>
        <w:tc>
          <w:tcPr>
            <w:tcW w:w="1276" w:type="dxa"/>
            <w:vAlign w:val="center"/>
          </w:tcPr>
          <w:p>
            <w:pPr>
              <w:pStyle w:val="20"/>
            </w:pPr>
            <w:r>
              <w:t>根据文化馆（站）免费开放管理意见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开展公益性群众文化活动</w:t>
            </w:r>
          </w:p>
        </w:tc>
        <w:tc>
          <w:tcPr>
            <w:tcW w:w="5386" w:type="dxa"/>
            <w:tcBorders>
              <w:top w:val="single" w:sz="6" w:space="0" w:color="000000"/>
              <w:left w:val="single" w:sz="6" w:space="0" w:color="000000"/>
              <w:right w:val="single" w:sz="6" w:space="0" w:color="000000"/>
            </w:tcBorders>
            <w:vAlign w:val="center"/>
          </w:tcPr>
          <w:p>
            <w:pPr>
              <w:pStyle w:val="20"/>
            </w:pPr>
            <w:r>
              <w:t>开展公益性宣传活动及群众文化活动</w:t>
            </w:r>
          </w:p>
        </w:tc>
        <w:tc>
          <w:tcPr>
            <w:tcW w:w="2268" w:type="dxa"/>
            <w:tcBorders>
              <w:top w:val="single" w:sz="6" w:space="0" w:color="000000"/>
              <w:left w:val="single" w:sz="6" w:space="0" w:color="000000"/>
              <w:right w:val="single" w:sz="6" w:space="0" w:color="000000"/>
            </w:tcBorders>
            <w:vAlign w:val="center"/>
          </w:tcPr>
          <w:p>
            <w:pPr>
              <w:pStyle w:val="20"/>
            </w:pPr>
            <w:r>
              <w:t>≥3次</w:t>
            </w:r>
          </w:p>
        </w:tc>
        <w:tc>
          <w:tcPr>
            <w:tcW w:w="1276" w:type="dxa"/>
            <w:vAlign w:val="center"/>
          </w:tcPr>
          <w:p>
            <w:pPr>
              <w:pStyle w:val="20"/>
            </w:pPr>
            <w:r>
              <w:t>根据文化馆（站）免费开放管理意见</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社会群众满意度</w:t>
            </w:r>
          </w:p>
        </w:tc>
        <w:tc>
          <w:tcPr>
            <w:tcW w:w="5386" w:type="dxa"/>
            <w:tcBorders>
              <w:top w:val="single" w:sz="6" w:space="0" w:color="000000"/>
              <w:left w:val="single" w:sz="6" w:space="0" w:color="000000"/>
              <w:right w:val="single" w:sz="6" w:space="0" w:color="000000"/>
            </w:tcBorders>
            <w:vAlign w:val="center"/>
          </w:tcPr>
          <w:p>
            <w:pPr>
              <w:pStyle w:val="20"/>
            </w:pPr>
            <w:r>
              <w:t>问卷调查社会群众对免费开放满意度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测评</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17、冀财教【2025】110号2026年国家非物质文化遗产保护资金绩效目标表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13032226P00217610003C</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冀财教【2025】110号2026年国家非物质文化遗产保护资金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24.00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24.00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组织举办昌黎民歌推广交流演出活动 及录制经典昌黎民歌曲目</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82%</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1.组织举办昌黎民歌推广交流演出活动 5场</w:t>
            </w:r>
          </w:p>
          <w:p>
            <w:pPr>
              <w:pStyle w:val="20"/>
            </w:pPr>
            <w:r>
              <w:t>2.录制经典昌黎民歌曲目</w:t>
            </w:r>
          </w:p>
          <w:p>
            <w:pPr>
              <w:pStyle w:val="20"/>
            </w:pPr>
            <w:r>
              <w:t>3.举办“文化和自然遗产日”非遗展演活动 1 场</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举办非遗展演活动</w:t>
            </w:r>
          </w:p>
        </w:tc>
        <w:tc>
          <w:tcPr>
            <w:tcW w:w="5386" w:type="dxa"/>
            <w:tcBorders>
              <w:top w:val="single" w:sz="6" w:space="0" w:color="000000"/>
              <w:left w:val="single" w:sz="6" w:space="0" w:color="000000"/>
              <w:right w:val="single" w:sz="6" w:space="0" w:color="000000"/>
            </w:tcBorders>
            <w:vAlign w:val="center"/>
          </w:tcPr>
          <w:p>
            <w:pPr>
              <w:pStyle w:val="20"/>
            </w:pPr>
            <w:r>
              <w:t>举办非遗展演活动场次</w:t>
            </w:r>
          </w:p>
        </w:tc>
        <w:tc>
          <w:tcPr>
            <w:tcW w:w="2268" w:type="dxa"/>
            <w:tcBorders>
              <w:top w:val="single" w:sz="6" w:space="0" w:color="000000"/>
              <w:left w:val="single" w:sz="6" w:space="0" w:color="000000"/>
              <w:right w:val="single" w:sz="6" w:space="0" w:color="000000"/>
            </w:tcBorders>
            <w:vAlign w:val="center"/>
          </w:tcPr>
          <w:p>
            <w:pPr>
              <w:pStyle w:val="20"/>
            </w:pPr>
            <w:r>
              <w:t>≥6场</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群众参与人次较上年增长率</w:t>
            </w:r>
          </w:p>
        </w:tc>
        <w:tc>
          <w:tcPr>
            <w:tcW w:w="5386" w:type="dxa"/>
            <w:tcBorders>
              <w:top w:val="single" w:sz="6" w:space="0" w:color="000000"/>
              <w:left w:val="single" w:sz="6" w:space="0" w:color="000000"/>
              <w:right w:val="single" w:sz="6" w:space="0" w:color="000000"/>
            </w:tcBorders>
            <w:vAlign w:val="center"/>
          </w:tcPr>
          <w:p>
            <w:pPr>
              <w:pStyle w:val="20"/>
            </w:pPr>
            <w:r>
              <w:t>群众参与人次较上年增长率</w:t>
            </w:r>
          </w:p>
        </w:tc>
        <w:tc>
          <w:tcPr>
            <w:tcW w:w="2268" w:type="dxa"/>
            <w:tcBorders>
              <w:top w:val="single" w:sz="6" w:space="0" w:color="000000"/>
              <w:left w:val="single" w:sz="6" w:space="0" w:color="000000"/>
              <w:right w:val="single" w:sz="6" w:space="0" w:color="000000"/>
            </w:tcBorders>
            <w:vAlign w:val="center"/>
          </w:tcPr>
          <w:p>
            <w:pPr>
              <w:pStyle w:val="20"/>
            </w:pPr>
            <w:r>
              <w:t>≥2%</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工作任务按时完成率</w:t>
            </w:r>
          </w:p>
        </w:tc>
        <w:tc>
          <w:tcPr>
            <w:tcW w:w="5386" w:type="dxa"/>
            <w:tcBorders>
              <w:top w:val="single" w:sz="6" w:space="0" w:color="000000"/>
              <w:left w:val="single" w:sz="6" w:space="0" w:color="000000"/>
              <w:right w:val="single" w:sz="6" w:space="0" w:color="000000"/>
            </w:tcBorders>
            <w:vAlign w:val="center"/>
          </w:tcPr>
          <w:p>
            <w:pPr>
              <w:pStyle w:val="20"/>
            </w:pPr>
            <w:r>
              <w:t>实际按时完成工作目标数量占目标工作数量的比例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控制成本</w:t>
            </w:r>
          </w:p>
        </w:tc>
        <w:tc>
          <w:tcPr>
            <w:tcW w:w="5386" w:type="dxa"/>
            <w:tcBorders>
              <w:top w:val="single" w:sz="6" w:space="0" w:color="000000"/>
              <w:left w:val="single" w:sz="6" w:space="0" w:color="000000"/>
              <w:right w:val="single" w:sz="6" w:space="0" w:color="000000"/>
            </w:tcBorders>
            <w:vAlign w:val="center"/>
          </w:tcPr>
          <w:p>
            <w:pPr>
              <w:pStyle w:val="20"/>
            </w:pPr>
            <w:r>
              <w:t>国家非物质文化遗产保护资金成本</w:t>
            </w:r>
          </w:p>
        </w:tc>
        <w:tc>
          <w:tcPr>
            <w:tcW w:w="2268" w:type="dxa"/>
            <w:tcBorders>
              <w:top w:val="single" w:sz="6" w:space="0" w:color="000000"/>
              <w:left w:val="single" w:sz="6" w:space="0" w:color="000000"/>
              <w:right w:val="single" w:sz="6" w:space="0" w:color="000000"/>
            </w:tcBorders>
            <w:vAlign w:val="center"/>
          </w:tcPr>
          <w:p>
            <w:pPr>
              <w:pStyle w:val="20"/>
            </w:pPr>
            <w:r>
              <w:t>≤20万元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无</w:t>
            </w:r>
          </w:p>
        </w:tc>
        <w:tc>
          <w:tcPr>
            <w:tcW w:w="5386" w:type="dxa"/>
            <w:tcBorders>
              <w:top w:val="single" w:sz="6" w:space="0" w:color="000000"/>
              <w:left w:val="single" w:sz="6" w:space="0" w:color="000000"/>
              <w:right w:val="single" w:sz="6" w:space="0" w:color="000000"/>
            </w:tcBorders>
            <w:vAlign w:val="center"/>
          </w:tcPr>
          <w:p>
            <w:pPr>
              <w:pStyle w:val="20"/>
            </w:pPr>
            <w:r>
              <w:t>无</w:t>
            </w:r>
          </w:p>
        </w:tc>
        <w:tc>
          <w:tcPr>
            <w:tcW w:w="2268" w:type="dxa"/>
            <w:tcBorders>
              <w:top w:val="single" w:sz="6" w:space="0" w:color="000000"/>
              <w:left w:val="single" w:sz="6" w:space="0" w:color="000000"/>
              <w:right w:val="single" w:sz="6" w:space="0" w:color="000000"/>
            </w:tcBorders>
            <w:vAlign w:val="center"/>
          </w:tcPr>
          <w:p>
            <w:pPr>
              <w:pStyle w:val="20"/>
            </w:pPr>
            <w:r>
              <w:t>无</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非遗宣传传播覆盖人群增长率</w:t>
            </w:r>
          </w:p>
        </w:tc>
        <w:tc>
          <w:tcPr>
            <w:tcW w:w="5386" w:type="dxa"/>
            <w:tcBorders>
              <w:top w:val="single" w:sz="6" w:space="0" w:color="000000"/>
              <w:left w:val="single" w:sz="6" w:space="0" w:color="000000"/>
              <w:right w:val="single" w:sz="6" w:space="0" w:color="000000"/>
            </w:tcBorders>
            <w:vAlign w:val="center"/>
          </w:tcPr>
          <w:p>
            <w:pPr>
              <w:pStyle w:val="20"/>
            </w:pPr>
            <w:r>
              <w:t>非遗宣传传播覆盖人群增长率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提倡生态环保</w:t>
            </w:r>
          </w:p>
        </w:tc>
        <w:tc>
          <w:tcPr>
            <w:tcW w:w="5386" w:type="dxa"/>
            <w:tcBorders>
              <w:top w:val="single" w:sz="6" w:space="0" w:color="000000"/>
              <w:left w:val="single" w:sz="6" w:space="0" w:color="000000"/>
              <w:right w:val="single" w:sz="6" w:space="0" w:color="000000"/>
            </w:tcBorders>
            <w:vAlign w:val="center"/>
          </w:tcPr>
          <w:p>
            <w:pPr>
              <w:pStyle w:val="20"/>
            </w:pPr>
            <w:r>
              <w:t>提倡生态环保</w:t>
            </w:r>
          </w:p>
        </w:tc>
        <w:tc>
          <w:tcPr>
            <w:tcW w:w="2268" w:type="dxa"/>
            <w:tcBorders>
              <w:top w:val="single" w:sz="6" w:space="0" w:color="000000"/>
              <w:left w:val="single" w:sz="6" w:space="0" w:color="000000"/>
              <w:right w:val="single" w:sz="6" w:space="0" w:color="000000"/>
            </w:tcBorders>
            <w:vAlign w:val="center"/>
          </w:tcPr>
          <w:p>
            <w:pPr>
              <w:pStyle w:val="20"/>
            </w:pPr>
            <w:r>
              <w:t>较上年效果显著</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对增强非遗保护传承氛围的影响</w:t>
            </w:r>
          </w:p>
        </w:tc>
        <w:tc>
          <w:tcPr>
            <w:tcW w:w="5386" w:type="dxa"/>
            <w:tcBorders>
              <w:top w:val="single" w:sz="6" w:space="0" w:color="000000"/>
              <w:left w:val="single" w:sz="6" w:space="0" w:color="000000"/>
              <w:right w:val="single" w:sz="6" w:space="0" w:color="000000"/>
            </w:tcBorders>
            <w:vAlign w:val="center"/>
          </w:tcPr>
          <w:p>
            <w:pPr>
              <w:pStyle w:val="20"/>
            </w:pPr>
            <w:r>
              <w:t>对增强非遗保护传承氛围的影响</w:t>
            </w:r>
          </w:p>
        </w:tc>
        <w:tc>
          <w:tcPr>
            <w:tcW w:w="2268" w:type="dxa"/>
            <w:tcBorders>
              <w:top w:val="single" w:sz="6" w:space="0" w:color="000000"/>
              <w:left w:val="single" w:sz="6" w:space="0" w:color="000000"/>
              <w:right w:val="single" w:sz="6" w:space="0" w:color="000000"/>
            </w:tcBorders>
            <w:vAlign w:val="center"/>
          </w:tcPr>
          <w:p>
            <w:pPr>
              <w:pStyle w:val="20"/>
            </w:pPr>
            <w:r>
              <w:t>长期</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现场观众满意度</w:t>
            </w:r>
          </w:p>
        </w:tc>
        <w:tc>
          <w:tcPr>
            <w:tcW w:w="5386" w:type="dxa"/>
            <w:tcBorders>
              <w:top w:val="single" w:sz="6" w:space="0" w:color="000000"/>
              <w:left w:val="single" w:sz="6" w:space="0" w:color="000000"/>
              <w:right w:val="single" w:sz="6" w:space="0" w:color="000000"/>
            </w:tcBorders>
            <w:vAlign w:val="center"/>
          </w:tcPr>
          <w:p>
            <w:pPr>
              <w:pStyle w:val="20"/>
            </w:pPr>
            <w:r>
              <w:t>非遗展演活动现场观众满意度</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18、冀财教【2025】115号2026年中央支持地方公共文化服务体系建设补助资金绩效目标表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13032226P00217710035W</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冀财教【2025】115号2026年中央支持地方公共文化服务体系建设补助资金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用于春节期间组织开展文化惠民演出活动</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30%</w:t>
            </w:r>
          </w:p>
        </w:tc>
        <w:tc>
          <w:tcPr>
            <w:tcW w:w="2835" w:type="dxa"/>
            <w:tcBorders>
              <w:top w:val="single" w:sz="6" w:space="0" w:color="000000"/>
              <w:left w:val="single" w:sz="6" w:space="0" w:color="000000"/>
              <w:right w:val="single" w:sz="6" w:space="0" w:color="000000"/>
            </w:tcBorders>
            <w:vAlign w:val="center"/>
          </w:tcPr>
          <w:p>
            <w:pPr>
              <w:pStyle w:val="21"/>
            </w:pPr>
            <w:r>
              <w:t>60%</w:t>
            </w:r>
          </w:p>
        </w:tc>
        <w:tc>
          <w:tcPr>
            <w:tcW w:w="2551" w:type="dxa"/>
            <w:tcBorders>
              <w:top w:val="single" w:sz="6" w:space="0" w:color="000000"/>
              <w:left w:val="single" w:sz="6" w:space="0" w:color="000000"/>
              <w:right w:val="single" w:sz="6" w:space="0" w:color="000000"/>
            </w:tcBorders>
            <w:vAlign w:val="center"/>
          </w:tcPr>
          <w:p>
            <w:pPr>
              <w:pStyle w:val="21"/>
            </w:pPr>
            <w:r>
              <w:t>85%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1.营造春节期间节日氛围，丰富群众业余精神生活，组织开展文化惠民演出活动。</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文化惠民活动场次</w:t>
            </w:r>
          </w:p>
        </w:tc>
        <w:tc>
          <w:tcPr>
            <w:tcW w:w="5386" w:type="dxa"/>
            <w:tcBorders>
              <w:top w:val="single" w:sz="6" w:space="0" w:color="000000"/>
              <w:left w:val="single" w:sz="6" w:space="0" w:color="000000"/>
              <w:right w:val="single" w:sz="6" w:space="0" w:color="000000"/>
            </w:tcBorders>
            <w:vAlign w:val="center"/>
          </w:tcPr>
          <w:p>
            <w:pPr>
              <w:pStyle w:val="20"/>
            </w:pPr>
            <w:r>
              <w:t>组织开展文化惠民活动场次</w:t>
            </w:r>
          </w:p>
        </w:tc>
        <w:tc>
          <w:tcPr>
            <w:tcW w:w="2268" w:type="dxa"/>
            <w:tcBorders>
              <w:top w:val="single" w:sz="6" w:space="0" w:color="000000"/>
              <w:left w:val="single" w:sz="6" w:space="0" w:color="000000"/>
              <w:right w:val="single" w:sz="6" w:space="0" w:color="000000"/>
            </w:tcBorders>
            <w:vAlign w:val="center"/>
          </w:tcPr>
          <w:p>
            <w:pPr>
              <w:pStyle w:val="20"/>
            </w:pPr>
            <w:r>
              <w:t>≥16场</w:t>
            </w:r>
          </w:p>
        </w:tc>
        <w:tc>
          <w:tcPr>
            <w:tcW w:w="1276" w:type="dxa"/>
            <w:vAlign w:val="center"/>
          </w:tcPr>
          <w:p>
            <w:pPr>
              <w:pStyle w:val="20"/>
            </w:pPr>
            <w:r>
              <w:t>根据文化馆（站）免费开放管理意见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群众参与人次增长率</w:t>
            </w:r>
          </w:p>
        </w:tc>
        <w:tc>
          <w:tcPr>
            <w:tcW w:w="5386" w:type="dxa"/>
            <w:tcBorders>
              <w:top w:val="single" w:sz="6" w:space="0" w:color="000000"/>
              <w:left w:val="single" w:sz="6" w:space="0" w:color="000000"/>
              <w:right w:val="single" w:sz="6" w:space="0" w:color="000000"/>
            </w:tcBorders>
            <w:vAlign w:val="center"/>
          </w:tcPr>
          <w:p>
            <w:pPr>
              <w:pStyle w:val="20"/>
            </w:pPr>
            <w:r>
              <w:t>群众参与人次增长率</w:t>
            </w:r>
          </w:p>
        </w:tc>
        <w:tc>
          <w:tcPr>
            <w:tcW w:w="2268" w:type="dxa"/>
            <w:tcBorders>
              <w:top w:val="single" w:sz="6" w:space="0" w:color="000000"/>
              <w:left w:val="single" w:sz="6" w:space="0" w:color="000000"/>
              <w:right w:val="single" w:sz="6" w:space="0" w:color="000000"/>
            </w:tcBorders>
            <w:vAlign w:val="center"/>
          </w:tcPr>
          <w:p>
            <w:pPr>
              <w:pStyle w:val="20"/>
            </w:pPr>
            <w:r>
              <w:t>≥2%</w:t>
            </w:r>
          </w:p>
        </w:tc>
        <w:tc>
          <w:tcPr>
            <w:tcW w:w="1276" w:type="dxa"/>
            <w:vAlign w:val="center"/>
          </w:tcPr>
          <w:p>
            <w:pPr>
              <w:pStyle w:val="20"/>
            </w:pPr>
            <w:r>
              <w:t>根据文化馆（站）免费开放管理意见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经费支出及时率</w:t>
            </w:r>
          </w:p>
        </w:tc>
        <w:tc>
          <w:tcPr>
            <w:tcW w:w="5386" w:type="dxa"/>
            <w:tcBorders>
              <w:top w:val="single" w:sz="6" w:space="0" w:color="000000"/>
              <w:left w:val="single" w:sz="6" w:space="0" w:color="000000"/>
              <w:right w:val="single" w:sz="6" w:space="0" w:color="000000"/>
            </w:tcBorders>
            <w:vAlign w:val="center"/>
          </w:tcPr>
          <w:p>
            <w:pPr>
              <w:pStyle w:val="20"/>
            </w:pPr>
            <w:r>
              <w:t>经费支出及时率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根据文化馆（站）免费开放管理意见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组织开展文化活动成本</w:t>
            </w:r>
          </w:p>
        </w:tc>
        <w:tc>
          <w:tcPr>
            <w:tcW w:w="5386" w:type="dxa"/>
            <w:tcBorders>
              <w:top w:val="single" w:sz="6" w:space="0" w:color="000000"/>
              <w:left w:val="single" w:sz="6" w:space="0" w:color="000000"/>
              <w:right w:val="single" w:sz="6" w:space="0" w:color="000000"/>
            </w:tcBorders>
            <w:vAlign w:val="center"/>
          </w:tcPr>
          <w:p>
            <w:pPr>
              <w:pStyle w:val="20"/>
            </w:pPr>
            <w:r>
              <w:t>组织开展文化活动成本</w:t>
            </w:r>
          </w:p>
        </w:tc>
        <w:tc>
          <w:tcPr>
            <w:tcW w:w="2268" w:type="dxa"/>
            <w:tcBorders>
              <w:top w:val="single" w:sz="6" w:space="0" w:color="000000"/>
              <w:left w:val="single" w:sz="6" w:space="0" w:color="000000"/>
              <w:right w:val="single" w:sz="6" w:space="0" w:color="000000"/>
            </w:tcBorders>
            <w:vAlign w:val="center"/>
          </w:tcPr>
          <w:p>
            <w:pPr>
              <w:pStyle w:val="20"/>
            </w:pPr>
            <w:r>
              <w:t>≤15万元</w:t>
            </w:r>
          </w:p>
        </w:tc>
        <w:tc>
          <w:tcPr>
            <w:tcW w:w="1276" w:type="dxa"/>
            <w:vAlign w:val="center"/>
          </w:tcPr>
          <w:p>
            <w:pPr>
              <w:pStyle w:val="20"/>
            </w:pPr>
            <w:r>
              <w:t>根据文化馆（站）免费开放管理意见</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文化惠民演出活动服务受益人次</w:t>
            </w:r>
          </w:p>
        </w:tc>
        <w:tc>
          <w:tcPr>
            <w:tcW w:w="5386" w:type="dxa"/>
            <w:tcBorders>
              <w:top w:val="single" w:sz="6" w:space="0" w:color="000000"/>
              <w:left w:val="single" w:sz="6" w:space="0" w:color="000000"/>
              <w:right w:val="single" w:sz="6" w:space="0" w:color="000000"/>
            </w:tcBorders>
            <w:vAlign w:val="center"/>
          </w:tcPr>
          <w:p>
            <w:pPr>
              <w:pStyle w:val="20"/>
            </w:pPr>
            <w:r>
              <w:t>文化惠民演出活动服务受益人次</w:t>
            </w:r>
          </w:p>
        </w:tc>
        <w:tc>
          <w:tcPr>
            <w:tcW w:w="2268" w:type="dxa"/>
            <w:tcBorders>
              <w:top w:val="single" w:sz="6" w:space="0" w:color="000000"/>
              <w:left w:val="single" w:sz="6" w:space="0" w:color="000000"/>
              <w:right w:val="single" w:sz="6" w:space="0" w:color="000000"/>
            </w:tcBorders>
            <w:vAlign w:val="center"/>
          </w:tcPr>
          <w:p>
            <w:pPr>
              <w:pStyle w:val="20"/>
            </w:pPr>
            <w:r>
              <w:t>较上年增长</w:t>
            </w:r>
          </w:p>
        </w:tc>
        <w:tc>
          <w:tcPr>
            <w:tcW w:w="1276" w:type="dxa"/>
            <w:vAlign w:val="center"/>
          </w:tcPr>
          <w:p>
            <w:pPr>
              <w:pStyle w:val="20"/>
            </w:pPr>
            <w:r>
              <w:t>根据文化馆（站）免费开放管理意见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社会影响度</w:t>
            </w:r>
          </w:p>
        </w:tc>
        <w:tc>
          <w:tcPr>
            <w:tcW w:w="5386" w:type="dxa"/>
            <w:tcBorders>
              <w:top w:val="single" w:sz="6" w:space="0" w:color="000000"/>
              <w:left w:val="single" w:sz="6" w:space="0" w:color="000000"/>
              <w:right w:val="single" w:sz="6" w:space="0" w:color="000000"/>
            </w:tcBorders>
            <w:vAlign w:val="center"/>
          </w:tcPr>
          <w:p>
            <w:pPr>
              <w:pStyle w:val="20"/>
            </w:pPr>
            <w:r>
              <w:t>社会影响度</w:t>
            </w:r>
          </w:p>
        </w:tc>
        <w:tc>
          <w:tcPr>
            <w:tcW w:w="2268" w:type="dxa"/>
            <w:tcBorders>
              <w:top w:val="single" w:sz="6" w:space="0" w:color="000000"/>
              <w:left w:val="single" w:sz="6" w:space="0" w:color="000000"/>
              <w:right w:val="single" w:sz="6" w:space="0" w:color="000000"/>
            </w:tcBorders>
            <w:vAlign w:val="center"/>
          </w:tcPr>
          <w:p>
            <w:pPr>
              <w:pStyle w:val="20"/>
            </w:pPr>
            <w:r>
              <w:t>较上年扩大</w:t>
            </w:r>
          </w:p>
        </w:tc>
        <w:tc>
          <w:tcPr>
            <w:tcW w:w="1276" w:type="dxa"/>
            <w:vAlign w:val="center"/>
          </w:tcPr>
          <w:p>
            <w:pPr>
              <w:pStyle w:val="20"/>
            </w:pPr>
            <w:r>
              <w:t>根据文化馆（站）免费开放管理意见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开展公益性群众文化活动增长率</w:t>
            </w:r>
          </w:p>
        </w:tc>
        <w:tc>
          <w:tcPr>
            <w:tcW w:w="5386" w:type="dxa"/>
            <w:tcBorders>
              <w:top w:val="single" w:sz="6" w:space="0" w:color="000000"/>
              <w:left w:val="single" w:sz="6" w:space="0" w:color="000000"/>
              <w:right w:val="single" w:sz="6" w:space="0" w:color="000000"/>
            </w:tcBorders>
            <w:vAlign w:val="center"/>
          </w:tcPr>
          <w:p>
            <w:pPr>
              <w:pStyle w:val="20"/>
            </w:pPr>
            <w:r>
              <w:t>开展公益性群众文化活动增长率</w:t>
            </w:r>
          </w:p>
        </w:tc>
        <w:tc>
          <w:tcPr>
            <w:tcW w:w="2268" w:type="dxa"/>
            <w:tcBorders>
              <w:top w:val="single" w:sz="6" w:space="0" w:color="000000"/>
              <w:left w:val="single" w:sz="6" w:space="0" w:color="000000"/>
              <w:right w:val="single" w:sz="6" w:space="0" w:color="000000"/>
            </w:tcBorders>
            <w:vAlign w:val="center"/>
          </w:tcPr>
          <w:p>
            <w:pPr>
              <w:pStyle w:val="20"/>
            </w:pPr>
            <w:r>
              <w:t>≥2%</w:t>
            </w:r>
          </w:p>
        </w:tc>
        <w:tc>
          <w:tcPr>
            <w:tcW w:w="1276" w:type="dxa"/>
            <w:vAlign w:val="center"/>
          </w:tcPr>
          <w:p>
            <w:pPr>
              <w:pStyle w:val="20"/>
            </w:pPr>
            <w:r>
              <w:t>根据文化馆（站）免费开放管理意见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公益性群众文化惠民活动服务对象数量</w:t>
            </w:r>
          </w:p>
        </w:tc>
        <w:tc>
          <w:tcPr>
            <w:tcW w:w="5386" w:type="dxa"/>
            <w:tcBorders>
              <w:top w:val="single" w:sz="6" w:space="0" w:color="000000"/>
              <w:left w:val="single" w:sz="6" w:space="0" w:color="000000"/>
              <w:right w:val="single" w:sz="6" w:space="0" w:color="000000"/>
            </w:tcBorders>
            <w:vAlign w:val="center"/>
          </w:tcPr>
          <w:p>
            <w:pPr>
              <w:pStyle w:val="20"/>
            </w:pPr>
            <w:r>
              <w:t>公益性群众文化惠民活动服务对象数量</w:t>
            </w:r>
          </w:p>
        </w:tc>
        <w:tc>
          <w:tcPr>
            <w:tcW w:w="2268" w:type="dxa"/>
            <w:tcBorders>
              <w:top w:val="single" w:sz="6" w:space="0" w:color="000000"/>
              <w:left w:val="single" w:sz="6" w:space="0" w:color="000000"/>
              <w:right w:val="single" w:sz="6" w:space="0" w:color="000000"/>
            </w:tcBorders>
            <w:vAlign w:val="center"/>
          </w:tcPr>
          <w:p>
            <w:pPr>
              <w:pStyle w:val="20"/>
            </w:pPr>
            <w:r>
              <w:t>较上年增长</w:t>
            </w:r>
          </w:p>
        </w:tc>
        <w:tc>
          <w:tcPr>
            <w:tcW w:w="1276" w:type="dxa"/>
            <w:vAlign w:val="center"/>
          </w:tcPr>
          <w:p>
            <w:pPr>
              <w:pStyle w:val="20"/>
            </w:pPr>
            <w:r>
              <w:t>根据文化馆（站）免费开放管理意见</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社会群众满意度</w:t>
            </w:r>
          </w:p>
        </w:tc>
        <w:tc>
          <w:tcPr>
            <w:tcW w:w="5386" w:type="dxa"/>
            <w:tcBorders>
              <w:top w:val="single" w:sz="6" w:space="0" w:color="000000"/>
              <w:left w:val="single" w:sz="6" w:space="0" w:color="000000"/>
              <w:right w:val="single" w:sz="6" w:space="0" w:color="000000"/>
            </w:tcBorders>
            <w:vAlign w:val="center"/>
          </w:tcPr>
          <w:p>
            <w:pPr>
              <w:pStyle w:val="20"/>
            </w:pPr>
            <w:r>
              <w:t>问卷调查社会群众对免费开放满意度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测评</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19、冀财教【2025】115号2026年中央支持地方公共文化服务体系建设补助资金（免费开放）绩效目标表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13032226P00217210126H</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冀财教【2025】115号2026年中央支持地方公共文化服务体系建设补助资金（免费开放）</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12.00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12.00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用于开展宣传普及传统文化（非遗）惠民演出活动</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26%</w:t>
            </w:r>
          </w:p>
        </w:tc>
        <w:tc>
          <w:tcPr>
            <w:tcW w:w="2835" w:type="dxa"/>
            <w:tcBorders>
              <w:top w:val="single" w:sz="6" w:space="0" w:color="000000"/>
              <w:left w:val="single" w:sz="6" w:space="0" w:color="000000"/>
              <w:right w:val="single" w:sz="6" w:space="0" w:color="000000"/>
            </w:tcBorders>
            <w:vAlign w:val="center"/>
          </w:tcPr>
          <w:p>
            <w:pPr>
              <w:pStyle w:val="21"/>
            </w:pPr>
            <w:r>
              <w:t>51%</w:t>
            </w:r>
          </w:p>
        </w:tc>
        <w:tc>
          <w:tcPr>
            <w:tcW w:w="2551" w:type="dxa"/>
            <w:tcBorders>
              <w:top w:val="single" w:sz="6" w:space="0" w:color="000000"/>
              <w:left w:val="single" w:sz="6" w:space="0" w:color="000000"/>
              <w:right w:val="single" w:sz="6" w:space="0" w:color="000000"/>
            </w:tcBorders>
            <w:vAlign w:val="center"/>
          </w:tcPr>
          <w:p>
            <w:pPr>
              <w:pStyle w:val="21"/>
            </w:pPr>
            <w:r>
              <w:t>85%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1.通过开展丰富多彩文化活动营造文化氛围和开展宣传普及传统文化（非遗）演出活动提升群众自我文化底蕴。</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 xml:space="preserve">免费开放天数 </w:t>
            </w:r>
          </w:p>
        </w:tc>
        <w:tc>
          <w:tcPr>
            <w:tcW w:w="5386" w:type="dxa"/>
            <w:tcBorders>
              <w:top w:val="single" w:sz="6" w:space="0" w:color="000000"/>
              <w:left w:val="single" w:sz="6" w:space="0" w:color="000000"/>
              <w:right w:val="single" w:sz="6" w:space="0" w:color="000000"/>
            </w:tcBorders>
            <w:vAlign w:val="center"/>
          </w:tcPr>
          <w:p>
            <w:pPr>
              <w:pStyle w:val="20"/>
            </w:pPr>
            <w:r>
              <w:t xml:space="preserve">全年免费开放天数 </w:t>
            </w:r>
          </w:p>
        </w:tc>
        <w:tc>
          <w:tcPr>
            <w:tcW w:w="2268" w:type="dxa"/>
            <w:tcBorders>
              <w:top w:val="single" w:sz="6" w:space="0" w:color="000000"/>
              <w:left w:val="single" w:sz="6" w:space="0" w:color="000000"/>
              <w:right w:val="single" w:sz="6" w:space="0" w:color="000000"/>
            </w:tcBorders>
            <w:vAlign w:val="center"/>
          </w:tcPr>
          <w:p>
            <w:pPr>
              <w:pStyle w:val="20"/>
            </w:pPr>
            <w:r>
              <w:t>≥300天</w:t>
            </w:r>
          </w:p>
        </w:tc>
        <w:tc>
          <w:tcPr>
            <w:tcW w:w="1276" w:type="dxa"/>
            <w:vAlign w:val="center"/>
          </w:tcPr>
          <w:p>
            <w:pPr>
              <w:pStyle w:val="20"/>
            </w:pPr>
            <w:r>
              <w:t>根据文化馆（站）免费开放管理意见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群众参与人次增长率</w:t>
            </w:r>
          </w:p>
        </w:tc>
        <w:tc>
          <w:tcPr>
            <w:tcW w:w="5386" w:type="dxa"/>
            <w:tcBorders>
              <w:top w:val="single" w:sz="6" w:space="0" w:color="000000"/>
              <w:left w:val="single" w:sz="6" w:space="0" w:color="000000"/>
              <w:right w:val="single" w:sz="6" w:space="0" w:color="000000"/>
            </w:tcBorders>
            <w:vAlign w:val="center"/>
          </w:tcPr>
          <w:p>
            <w:pPr>
              <w:pStyle w:val="20"/>
            </w:pPr>
            <w:r>
              <w:t>群众参与人次增长率</w:t>
            </w:r>
          </w:p>
        </w:tc>
        <w:tc>
          <w:tcPr>
            <w:tcW w:w="2268" w:type="dxa"/>
            <w:tcBorders>
              <w:top w:val="single" w:sz="6" w:space="0" w:color="000000"/>
              <w:left w:val="single" w:sz="6" w:space="0" w:color="000000"/>
              <w:right w:val="single" w:sz="6" w:space="0" w:color="000000"/>
            </w:tcBorders>
            <w:vAlign w:val="center"/>
          </w:tcPr>
          <w:p>
            <w:pPr>
              <w:pStyle w:val="20"/>
            </w:pPr>
            <w:r>
              <w:t>≥3%</w:t>
            </w:r>
          </w:p>
        </w:tc>
        <w:tc>
          <w:tcPr>
            <w:tcW w:w="1276" w:type="dxa"/>
            <w:vAlign w:val="center"/>
          </w:tcPr>
          <w:p>
            <w:pPr>
              <w:pStyle w:val="20"/>
            </w:pPr>
            <w:r>
              <w:t>根据文化馆（站）免费开放管理意见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经费支出及时率</w:t>
            </w:r>
          </w:p>
        </w:tc>
        <w:tc>
          <w:tcPr>
            <w:tcW w:w="5386" w:type="dxa"/>
            <w:tcBorders>
              <w:top w:val="single" w:sz="6" w:space="0" w:color="000000"/>
              <w:left w:val="single" w:sz="6" w:space="0" w:color="000000"/>
              <w:right w:val="single" w:sz="6" w:space="0" w:color="000000"/>
            </w:tcBorders>
            <w:vAlign w:val="center"/>
          </w:tcPr>
          <w:p>
            <w:pPr>
              <w:pStyle w:val="20"/>
            </w:pPr>
            <w:r>
              <w:t>经费支出及时率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根据文化馆（站）免费开放管理意见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文化活动开展成本</w:t>
            </w:r>
          </w:p>
        </w:tc>
        <w:tc>
          <w:tcPr>
            <w:tcW w:w="5386" w:type="dxa"/>
            <w:tcBorders>
              <w:top w:val="single" w:sz="6" w:space="0" w:color="000000"/>
              <w:left w:val="single" w:sz="6" w:space="0" w:color="000000"/>
              <w:right w:val="single" w:sz="6" w:space="0" w:color="000000"/>
            </w:tcBorders>
            <w:vAlign w:val="center"/>
          </w:tcPr>
          <w:p>
            <w:pPr>
              <w:pStyle w:val="20"/>
            </w:pPr>
            <w:r>
              <w:t>文化活动开展成本</w:t>
            </w:r>
          </w:p>
        </w:tc>
        <w:tc>
          <w:tcPr>
            <w:tcW w:w="2268" w:type="dxa"/>
            <w:tcBorders>
              <w:top w:val="single" w:sz="6" w:space="0" w:color="000000"/>
              <w:left w:val="single" w:sz="6" w:space="0" w:color="000000"/>
              <w:right w:val="single" w:sz="6" w:space="0" w:color="000000"/>
            </w:tcBorders>
            <w:vAlign w:val="center"/>
          </w:tcPr>
          <w:p>
            <w:pPr>
              <w:pStyle w:val="20"/>
            </w:pPr>
            <w:r>
              <w:t>≤12万元</w:t>
            </w:r>
          </w:p>
        </w:tc>
        <w:tc>
          <w:tcPr>
            <w:tcW w:w="1276" w:type="dxa"/>
            <w:vAlign w:val="center"/>
          </w:tcPr>
          <w:p>
            <w:pPr>
              <w:pStyle w:val="20"/>
            </w:pPr>
            <w:r>
              <w:t>根据文化馆（站）免费开放管理意见</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免费开放服务受益人数</w:t>
            </w:r>
          </w:p>
        </w:tc>
        <w:tc>
          <w:tcPr>
            <w:tcW w:w="5386" w:type="dxa"/>
            <w:tcBorders>
              <w:top w:val="single" w:sz="6" w:space="0" w:color="000000"/>
              <w:left w:val="single" w:sz="6" w:space="0" w:color="000000"/>
              <w:right w:val="single" w:sz="6" w:space="0" w:color="000000"/>
            </w:tcBorders>
            <w:vAlign w:val="center"/>
          </w:tcPr>
          <w:p>
            <w:pPr>
              <w:pStyle w:val="20"/>
            </w:pPr>
            <w:r>
              <w:t>扩大免费开放服务受益人数</w:t>
            </w:r>
          </w:p>
        </w:tc>
        <w:tc>
          <w:tcPr>
            <w:tcW w:w="2268" w:type="dxa"/>
            <w:tcBorders>
              <w:top w:val="single" w:sz="6" w:space="0" w:color="000000"/>
              <w:left w:val="single" w:sz="6" w:space="0" w:color="000000"/>
              <w:right w:val="single" w:sz="6" w:space="0" w:color="000000"/>
            </w:tcBorders>
            <w:vAlign w:val="center"/>
          </w:tcPr>
          <w:p>
            <w:pPr>
              <w:pStyle w:val="20"/>
            </w:pPr>
            <w:r>
              <w:t>较上年增长</w:t>
            </w:r>
          </w:p>
        </w:tc>
        <w:tc>
          <w:tcPr>
            <w:tcW w:w="1276" w:type="dxa"/>
            <w:vAlign w:val="center"/>
          </w:tcPr>
          <w:p>
            <w:pPr>
              <w:pStyle w:val="20"/>
            </w:pPr>
            <w:r>
              <w:t>根据文化馆（站）免费开放管理意见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免费开放服务投诉处理效率</w:t>
            </w:r>
          </w:p>
        </w:tc>
        <w:tc>
          <w:tcPr>
            <w:tcW w:w="5386" w:type="dxa"/>
            <w:tcBorders>
              <w:top w:val="single" w:sz="6" w:space="0" w:color="000000"/>
              <w:left w:val="single" w:sz="6" w:space="0" w:color="000000"/>
              <w:right w:val="single" w:sz="6" w:space="0" w:color="000000"/>
            </w:tcBorders>
            <w:vAlign w:val="center"/>
          </w:tcPr>
          <w:p>
            <w:pPr>
              <w:pStyle w:val="20"/>
            </w:pPr>
            <w:r>
              <w:t>免费开放服务投诉处理效率</w:t>
            </w:r>
          </w:p>
        </w:tc>
        <w:tc>
          <w:tcPr>
            <w:tcW w:w="2268" w:type="dxa"/>
            <w:tcBorders>
              <w:top w:val="single" w:sz="6" w:space="0" w:color="000000"/>
              <w:left w:val="single" w:sz="6" w:space="0" w:color="000000"/>
              <w:right w:val="single" w:sz="6" w:space="0" w:color="000000"/>
            </w:tcBorders>
            <w:vAlign w:val="center"/>
          </w:tcPr>
          <w:p>
            <w:pPr>
              <w:pStyle w:val="20"/>
            </w:pPr>
            <w:r>
              <w:t>≤24小时</w:t>
            </w:r>
          </w:p>
        </w:tc>
        <w:tc>
          <w:tcPr>
            <w:tcW w:w="1276" w:type="dxa"/>
            <w:vAlign w:val="center"/>
          </w:tcPr>
          <w:p>
            <w:pPr>
              <w:pStyle w:val="20"/>
            </w:pPr>
            <w:r>
              <w:t>根据文化馆（站）免费开放管理意见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开展公益性群众文化活动增长率</w:t>
            </w:r>
          </w:p>
        </w:tc>
        <w:tc>
          <w:tcPr>
            <w:tcW w:w="5386" w:type="dxa"/>
            <w:tcBorders>
              <w:top w:val="single" w:sz="6" w:space="0" w:color="000000"/>
              <w:left w:val="single" w:sz="6" w:space="0" w:color="000000"/>
              <w:right w:val="single" w:sz="6" w:space="0" w:color="000000"/>
            </w:tcBorders>
            <w:vAlign w:val="center"/>
          </w:tcPr>
          <w:p>
            <w:pPr>
              <w:pStyle w:val="20"/>
            </w:pPr>
            <w:r>
              <w:t>开展公益性群众文化活动增长率</w:t>
            </w:r>
          </w:p>
        </w:tc>
        <w:tc>
          <w:tcPr>
            <w:tcW w:w="2268" w:type="dxa"/>
            <w:tcBorders>
              <w:top w:val="single" w:sz="6" w:space="0" w:color="000000"/>
              <w:left w:val="single" w:sz="6" w:space="0" w:color="000000"/>
              <w:right w:val="single" w:sz="6" w:space="0" w:color="000000"/>
            </w:tcBorders>
            <w:vAlign w:val="center"/>
          </w:tcPr>
          <w:p>
            <w:pPr>
              <w:pStyle w:val="20"/>
            </w:pPr>
            <w:r>
              <w:t>≥2%</w:t>
            </w:r>
          </w:p>
        </w:tc>
        <w:tc>
          <w:tcPr>
            <w:tcW w:w="1276" w:type="dxa"/>
            <w:vAlign w:val="center"/>
          </w:tcPr>
          <w:p>
            <w:pPr>
              <w:pStyle w:val="20"/>
            </w:pPr>
            <w:r>
              <w:t>根据文化馆（站）免费开放管理意见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免费开放服务对象数量</w:t>
            </w:r>
          </w:p>
        </w:tc>
        <w:tc>
          <w:tcPr>
            <w:tcW w:w="5386" w:type="dxa"/>
            <w:tcBorders>
              <w:top w:val="single" w:sz="6" w:space="0" w:color="000000"/>
              <w:left w:val="single" w:sz="6" w:space="0" w:color="000000"/>
              <w:right w:val="single" w:sz="6" w:space="0" w:color="000000"/>
            </w:tcBorders>
            <w:vAlign w:val="center"/>
          </w:tcPr>
          <w:p>
            <w:pPr>
              <w:pStyle w:val="20"/>
            </w:pPr>
            <w:r>
              <w:t>免费开放服务对象数量</w:t>
            </w:r>
          </w:p>
        </w:tc>
        <w:tc>
          <w:tcPr>
            <w:tcW w:w="2268" w:type="dxa"/>
            <w:tcBorders>
              <w:top w:val="single" w:sz="6" w:space="0" w:color="000000"/>
              <w:left w:val="single" w:sz="6" w:space="0" w:color="000000"/>
              <w:right w:val="single" w:sz="6" w:space="0" w:color="000000"/>
            </w:tcBorders>
            <w:vAlign w:val="center"/>
          </w:tcPr>
          <w:p>
            <w:pPr>
              <w:pStyle w:val="20"/>
            </w:pPr>
            <w:r>
              <w:t>较上年增长</w:t>
            </w:r>
          </w:p>
        </w:tc>
        <w:tc>
          <w:tcPr>
            <w:tcW w:w="1276" w:type="dxa"/>
            <w:vAlign w:val="center"/>
          </w:tcPr>
          <w:p>
            <w:pPr>
              <w:pStyle w:val="20"/>
            </w:pPr>
            <w:r>
              <w:t>根据文化馆（站）免费开放管理意见</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社会群众满意度</w:t>
            </w:r>
          </w:p>
        </w:tc>
        <w:tc>
          <w:tcPr>
            <w:tcW w:w="5386" w:type="dxa"/>
            <w:tcBorders>
              <w:top w:val="single" w:sz="6" w:space="0" w:color="000000"/>
              <w:left w:val="single" w:sz="6" w:space="0" w:color="000000"/>
              <w:right w:val="single" w:sz="6" w:space="0" w:color="000000"/>
            </w:tcBorders>
            <w:vAlign w:val="center"/>
          </w:tcPr>
          <w:p>
            <w:pPr>
              <w:pStyle w:val="20"/>
            </w:pPr>
            <w:r>
              <w:t>问卷调查社会群众对免费开放满意度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测评</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20、冀财教【2025】130号2026年省级非物质文化遗产保护专项资金绩效目标表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13032226P002176100040</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冀财教【2025】130号2026年省级非物质文化遗产保护专项资金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15.20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15.20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举办昌黎吹歌文化惠民演出活动</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82%</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1.举办昌黎吹歌文化惠民演出活动</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举办非遗展演活动</w:t>
            </w:r>
          </w:p>
        </w:tc>
        <w:tc>
          <w:tcPr>
            <w:tcW w:w="5386" w:type="dxa"/>
            <w:tcBorders>
              <w:top w:val="single" w:sz="6" w:space="0" w:color="000000"/>
              <w:left w:val="single" w:sz="6" w:space="0" w:color="000000"/>
              <w:right w:val="single" w:sz="6" w:space="0" w:color="000000"/>
            </w:tcBorders>
            <w:vAlign w:val="center"/>
          </w:tcPr>
          <w:p>
            <w:pPr>
              <w:pStyle w:val="20"/>
            </w:pPr>
            <w:r>
              <w:t>举办非遗展演活动场次</w:t>
            </w:r>
          </w:p>
        </w:tc>
        <w:tc>
          <w:tcPr>
            <w:tcW w:w="2268" w:type="dxa"/>
            <w:tcBorders>
              <w:top w:val="single" w:sz="6" w:space="0" w:color="000000"/>
              <w:left w:val="single" w:sz="6" w:space="0" w:color="000000"/>
              <w:right w:val="single" w:sz="6" w:space="0" w:color="000000"/>
            </w:tcBorders>
            <w:vAlign w:val="center"/>
          </w:tcPr>
          <w:p>
            <w:pPr>
              <w:pStyle w:val="20"/>
            </w:pPr>
            <w:r>
              <w:t>≥3场</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群众参与人次较上年增长率</w:t>
            </w:r>
          </w:p>
        </w:tc>
        <w:tc>
          <w:tcPr>
            <w:tcW w:w="5386" w:type="dxa"/>
            <w:tcBorders>
              <w:top w:val="single" w:sz="6" w:space="0" w:color="000000"/>
              <w:left w:val="single" w:sz="6" w:space="0" w:color="000000"/>
              <w:right w:val="single" w:sz="6" w:space="0" w:color="000000"/>
            </w:tcBorders>
            <w:vAlign w:val="center"/>
          </w:tcPr>
          <w:p>
            <w:pPr>
              <w:pStyle w:val="20"/>
            </w:pPr>
            <w:r>
              <w:t>群众参与人次较上年增长率</w:t>
            </w:r>
          </w:p>
        </w:tc>
        <w:tc>
          <w:tcPr>
            <w:tcW w:w="2268" w:type="dxa"/>
            <w:tcBorders>
              <w:top w:val="single" w:sz="6" w:space="0" w:color="000000"/>
              <w:left w:val="single" w:sz="6" w:space="0" w:color="000000"/>
              <w:right w:val="single" w:sz="6" w:space="0" w:color="000000"/>
            </w:tcBorders>
            <w:vAlign w:val="center"/>
          </w:tcPr>
          <w:p>
            <w:pPr>
              <w:pStyle w:val="20"/>
            </w:pPr>
            <w:r>
              <w:t>≥2%</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工作任务按时完成率</w:t>
            </w:r>
          </w:p>
        </w:tc>
        <w:tc>
          <w:tcPr>
            <w:tcW w:w="5386" w:type="dxa"/>
            <w:tcBorders>
              <w:top w:val="single" w:sz="6" w:space="0" w:color="000000"/>
              <w:left w:val="single" w:sz="6" w:space="0" w:color="000000"/>
              <w:right w:val="single" w:sz="6" w:space="0" w:color="000000"/>
            </w:tcBorders>
            <w:vAlign w:val="center"/>
          </w:tcPr>
          <w:p>
            <w:pPr>
              <w:pStyle w:val="20"/>
            </w:pPr>
            <w:r>
              <w:t>实际按时完成工作目标数量占目标工作数量的比例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控制成本</w:t>
            </w:r>
          </w:p>
        </w:tc>
        <w:tc>
          <w:tcPr>
            <w:tcW w:w="5386" w:type="dxa"/>
            <w:tcBorders>
              <w:top w:val="single" w:sz="6" w:space="0" w:color="000000"/>
              <w:left w:val="single" w:sz="6" w:space="0" w:color="000000"/>
              <w:right w:val="single" w:sz="6" w:space="0" w:color="000000"/>
            </w:tcBorders>
            <w:vAlign w:val="center"/>
          </w:tcPr>
          <w:p>
            <w:pPr>
              <w:pStyle w:val="20"/>
            </w:pPr>
            <w:r>
              <w:t>国家非物质文化遗产保护资金成本</w:t>
            </w:r>
          </w:p>
        </w:tc>
        <w:tc>
          <w:tcPr>
            <w:tcW w:w="2268" w:type="dxa"/>
            <w:tcBorders>
              <w:top w:val="single" w:sz="6" w:space="0" w:color="000000"/>
              <w:left w:val="single" w:sz="6" w:space="0" w:color="000000"/>
              <w:right w:val="single" w:sz="6" w:space="0" w:color="000000"/>
            </w:tcBorders>
            <w:vAlign w:val="center"/>
          </w:tcPr>
          <w:p>
            <w:pPr>
              <w:pStyle w:val="20"/>
            </w:pPr>
            <w:r>
              <w:t>≤5万元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无</w:t>
            </w:r>
          </w:p>
        </w:tc>
        <w:tc>
          <w:tcPr>
            <w:tcW w:w="5386" w:type="dxa"/>
            <w:tcBorders>
              <w:top w:val="single" w:sz="6" w:space="0" w:color="000000"/>
              <w:left w:val="single" w:sz="6" w:space="0" w:color="000000"/>
              <w:right w:val="single" w:sz="6" w:space="0" w:color="000000"/>
            </w:tcBorders>
            <w:vAlign w:val="center"/>
          </w:tcPr>
          <w:p>
            <w:pPr>
              <w:pStyle w:val="20"/>
            </w:pPr>
            <w:r>
              <w:t>无</w:t>
            </w:r>
          </w:p>
        </w:tc>
        <w:tc>
          <w:tcPr>
            <w:tcW w:w="2268" w:type="dxa"/>
            <w:tcBorders>
              <w:top w:val="single" w:sz="6" w:space="0" w:color="000000"/>
              <w:left w:val="single" w:sz="6" w:space="0" w:color="000000"/>
              <w:right w:val="single" w:sz="6" w:space="0" w:color="000000"/>
            </w:tcBorders>
            <w:vAlign w:val="center"/>
          </w:tcPr>
          <w:p>
            <w:pPr>
              <w:pStyle w:val="20"/>
            </w:pPr>
            <w:r>
              <w:t>无</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非遗宣传传播覆盖人群增长率</w:t>
            </w:r>
          </w:p>
        </w:tc>
        <w:tc>
          <w:tcPr>
            <w:tcW w:w="5386" w:type="dxa"/>
            <w:tcBorders>
              <w:top w:val="single" w:sz="6" w:space="0" w:color="000000"/>
              <w:left w:val="single" w:sz="6" w:space="0" w:color="000000"/>
              <w:right w:val="single" w:sz="6" w:space="0" w:color="000000"/>
            </w:tcBorders>
            <w:vAlign w:val="center"/>
          </w:tcPr>
          <w:p>
            <w:pPr>
              <w:pStyle w:val="20"/>
            </w:pPr>
            <w:r>
              <w:t>非遗宣传传播覆盖人群增长率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提倡生态环保</w:t>
            </w:r>
          </w:p>
        </w:tc>
        <w:tc>
          <w:tcPr>
            <w:tcW w:w="5386" w:type="dxa"/>
            <w:tcBorders>
              <w:top w:val="single" w:sz="6" w:space="0" w:color="000000"/>
              <w:left w:val="single" w:sz="6" w:space="0" w:color="000000"/>
              <w:right w:val="single" w:sz="6" w:space="0" w:color="000000"/>
            </w:tcBorders>
            <w:vAlign w:val="center"/>
          </w:tcPr>
          <w:p>
            <w:pPr>
              <w:pStyle w:val="20"/>
            </w:pPr>
            <w:r>
              <w:t>提倡生态环保</w:t>
            </w:r>
          </w:p>
        </w:tc>
        <w:tc>
          <w:tcPr>
            <w:tcW w:w="2268" w:type="dxa"/>
            <w:tcBorders>
              <w:top w:val="single" w:sz="6" w:space="0" w:color="000000"/>
              <w:left w:val="single" w:sz="6" w:space="0" w:color="000000"/>
              <w:right w:val="single" w:sz="6" w:space="0" w:color="000000"/>
            </w:tcBorders>
            <w:vAlign w:val="center"/>
          </w:tcPr>
          <w:p>
            <w:pPr>
              <w:pStyle w:val="20"/>
            </w:pPr>
            <w:r>
              <w:t>较上年效果显著</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对增强非遗保护传承氛围的影响</w:t>
            </w:r>
          </w:p>
        </w:tc>
        <w:tc>
          <w:tcPr>
            <w:tcW w:w="5386" w:type="dxa"/>
            <w:tcBorders>
              <w:top w:val="single" w:sz="6" w:space="0" w:color="000000"/>
              <w:left w:val="single" w:sz="6" w:space="0" w:color="000000"/>
              <w:right w:val="single" w:sz="6" w:space="0" w:color="000000"/>
            </w:tcBorders>
            <w:vAlign w:val="center"/>
          </w:tcPr>
          <w:p>
            <w:pPr>
              <w:pStyle w:val="20"/>
            </w:pPr>
            <w:r>
              <w:t>对增强非遗保护传承氛围的影响</w:t>
            </w:r>
          </w:p>
        </w:tc>
        <w:tc>
          <w:tcPr>
            <w:tcW w:w="2268" w:type="dxa"/>
            <w:tcBorders>
              <w:top w:val="single" w:sz="6" w:space="0" w:color="000000"/>
              <w:left w:val="single" w:sz="6" w:space="0" w:color="000000"/>
              <w:right w:val="single" w:sz="6" w:space="0" w:color="000000"/>
            </w:tcBorders>
            <w:vAlign w:val="center"/>
          </w:tcPr>
          <w:p>
            <w:pPr>
              <w:pStyle w:val="20"/>
            </w:pPr>
            <w:r>
              <w:t>长期</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现场观众满意度</w:t>
            </w:r>
          </w:p>
        </w:tc>
        <w:tc>
          <w:tcPr>
            <w:tcW w:w="5386" w:type="dxa"/>
            <w:tcBorders>
              <w:top w:val="single" w:sz="6" w:space="0" w:color="000000"/>
              <w:left w:val="single" w:sz="6" w:space="0" w:color="000000"/>
              <w:right w:val="single" w:sz="6" w:space="0" w:color="000000"/>
            </w:tcBorders>
            <w:vAlign w:val="center"/>
          </w:tcPr>
          <w:p>
            <w:pPr>
              <w:pStyle w:val="20"/>
            </w:pPr>
            <w:r>
              <w:t>非遗展演活动现场观众满意度</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21、冀财教【2025】131号2026年基层三馆一站免费开放运行保障经费绩效目标表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13032226P00217210125X</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冀财教【2025】131号2026年基层三馆一站免费开放运行保障经费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用于开展宣传普及传统文化（非遗）惠民演出活动</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26%</w:t>
            </w:r>
          </w:p>
        </w:tc>
        <w:tc>
          <w:tcPr>
            <w:tcW w:w="2835" w:type="dxa"/>
            <w:tcBorders>
              <w:top w:val="single" w:sz="6" w:space="0" w:color="000000"/>
              <w:left w:val="single" w:sz="6" w:space="0" w:color="000000"/>
              <w:right w:val="single" w:sz="6" w:space="0" w:color="000000"/>
            </w:tcBorders>
            <w:vAlign w:val="center"/>
          </w:tcPr>
          <w:p>
            <w:pPr>
              <w:pStyle w:val="21"/>
            </w:pPr>
            <w:r>
              <w:t>51%</w:t>
            </w:r>
          </w:p>
        </w:tc>
        <w:tc>
          <w:tcPr>
            <w:tcW w:w="2551" w:type="dxa"/>
            <w:tcBorders>
              <w:top w:val="single" w:sz="6" w:space="0" w:color="000000"/>
              <w:left w:val="single" w:sz="6" w:space="0" w:color="000000"/>
              <w:right w:val="single" w:sz="6" w:space="0" w:color="000000"/>
            </w:tcBorders>
            <w:vAlign w:val="center"/>
          </w:tcPr>
          <w:p>
            <w:pPr>
              <w:pStyle w:val="21"/>
            </w:pPr>
            <w:r>
              <w:t>85%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1.通过开展丰富多彩文化活动营造文化氛围和开展宣传普及传统文化（非遗）演出活动提升群众自我文化底蕴。</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 xml:space="preserve">免费开放天数 </w:t>
            </w:r>
          </w:p>
        </w:tc>
        <w:tc>
          <w:tcPr>
            <w:tcW w:w="5386" w:type="dxa"/>
            <w:tcBorders>
              <w:top w:val="single" w:sz="6" w:space="0" w:color="000000"/>
              <w:left w:val="single" w:sz="6" w:space="0" w:color="000000"/>
              <w:right w:val="single" w:sz="6" w:space="0" w:color="000000"/>
            </w:tcBorders>
            <w:vAlign w:val="center"/>
          </w:tcPr>
          <w:p>
            <w:pPr>
              <w:pStyle w:val="20"/>
            </w:pPr>
            <w:r>
              <w:t xml:space="preserve">全年免费开放天数 </w:t>
            </w:r>
          </w:p>
        </w:tc>
        <w:tc>
          <w:tcPr>
            <w:tcW w:w="2268" w:type="dxa"/>
            <w:tcBorders>
              <w:top w:val="single" w:sz="6" w:space="0" w:color="000000"/>
              <w:left w:val="single" w:sz="6" w:space="0" w:color="000000"/>
              <w:right w:val="single" w:sz="6" w:space="0" w:color="000000"/>
            </w:tcBorders>
            <w:vAlign w:val="center"/>
          </w:tcPr>
          <w:p>
            <w:pPr>
              <w:pStyle w:val="20"/>
            </w:pPr>
            <w:r>
              <w:t>≥300天</w:t>
            </w:r>
          </w:p>
        </w:tc>
        <w:tc>
          <w:tcPr>
            <w:tcW w:w="1276" w:type="dxa"/>
            <w:vAlign w:val="center"/>
          </w:tcPr>
          <w:p>
            <w:pPr>
              <w:pStyle w:val="20"/>
            </w:pPr>
            <w:r>
              <w:t>根据文化馆（站）免费开放管理意见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群众参与人次增长率</w:t>
            </w:r>
          </w:p>
        </w:tc>
        <w:tc>
          <w:tcPr>
            <w:tcW w:w="5386" w:type="dxa"/>
            <w:tcBorders>
              <w:top w:val="single" w:sz="6" w:space="0" w:color="000000"/>
              <w:left w:val="single" w:sz="6" w:space="0" w:color="000000"/>
              <w:right w:val="single" w:sz="6" w:space="0" w:color="000000"/>
            </w:tcBorders>
            <w:vAlign w:val="center"/>
          </w:tcPr>
          <w:p>
            <w:pPr>
              <w:pStyle w:val="20"/>
            </w:pPr>
            <w:r>
              <w:t>群众参与人次增长率</w:t>
            </w:r>
          </w:p>
        </w:tc>
        <w:tc>
          <w:tcPr>
            <w:tcW w:w="2268" w:type="dxa"/>
            <w:tcBorders>
              <w:top w:val="single" w:sz="6" w:space="0" w:color="000000"/>
              <w:left w:val="single" w:sz="6" w:space="0" w:color="000000"/>
              <w:right w:val="single" w:sz="6" w:space="0" w:color="000000"/>
            </w:tcBorders>
            <w:vAlign w:val="center"/>
          </w:tcPr>
          <w:p>
            <w:pPr>
              <w:pStyle w:val="20"/>
            </w:pPr>
            <w:r>
              <w:t>≥3%</w:t>
            </w:r>
          </w:p>
        </w:tc>
        <w:tc>
          <w:tcPr>
            <w:tcW w:w="1276" w:type="dxa"/>
            <w:vAlign w:val="center"/>
          </w:tcPr>
          <w:p>
            <w:pPr>
              <w:pStyle w:val="20"/>
            </w:pPr>
            <w:r>
              <w:t>根据文化馆（站）免费开放管理意见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经费支出及时率</w:t>
            </w:r>
          </w:p>
        </w:tc>
        <w:tc>
          <w:tcPr>
            <w:tcW w:w="5386" w:type="dxa"/>
            <w:tcBorders>
              <w:top w:val="single" w:sz="6" w:space="0" w:color="000000"/>
              <w:left w:val="single" w:sz="6" w:space="0" w:color="000000"/>
              <w:right w:val="single" w:sz="6" w:space="0" w:color="000000"/>
            </w:tcBorders>
            <w:vAlign w:val="center"/>
          </w:tcPr>
          <w:p>
            <w:pPr>
              <w:pStyle w:val="20"/>
            </w:pPr>
            <w:r>
              <w:t>经费支出及时率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根据文化馆（站）免费开放管理意见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文化活动开展成本</w:t>
            </w:r>
          </w:p>
        </w:tc>
        <w:tc>
          <w:tcPr>
            <w:tcW w:w="5386" w:type="dxa"/>
            <w:tcBorders>
              <w:top w:val="single" w:sz="6" w:space="0" w:color="000000"/>
              <w:left w:val="single" w:sz="6" w:space="0" w:color="000000"/>
              <w:right w:val="single" w:sz="6" w:space="0" w:color="000000"/>
            </w:tcBorders>
            <w:vAlign w:val="center"/>
          </w:tcPr>
          <w:p>
            <w:pPr>
              <w:pStyle w:val="20"/>
            </w:pPr>
            <w:r>
              <w:t>文化活动开展成本</w:t>
            </w:r>
          </w:p>
        </w:tc>
        <w:tc>
          <w:tcPr>
            <w:tcW w:w="2268" w:type="dxa"/>
            <w:tcBorders>
              <w:top w:val="single" w:sz="6" w:space="0" w:color="000000"/>
              <w:left w:val="single" w:sz="6" w:space="0" w:color="000000"/>
              <w:right w:val="single" w:sz="6" w:space="0" w:color="000000"/>
            </w:tcBorders>
            <w:vAlign w:val="center"/>
          </w:tcPr>
          <w:p>
            <w:pPr>
              <w:pStyle w:val="20"/>
            </w:pPr>
            <w:r>
              <w:t>≤2万元</w:t>
            </w:r>
          </w:p>
        </w:tc>
        <w:tc>
          <w:tcPr>
            <w:tcW w:w="1276" w:type="dxa"/>
            <w:vAlign w:val="center"/>
          </w:tcPr>
          <w:p>
            <w:pPr>
              <w:pStyle w:val="20"/>
            </w:pPr>
            <w:r>
              <w:t>根据文化馆（站）免费开放管理意见</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免费开放服务受益人数</w:t>
            </w:r>
          </w:p>
        </w:tc>
        <w:tc>
          <w:tcPr>
            <w:tcW w:w="5386" w:type="dxa"/>
            <w:tcBorders>
              <w:top w:val="single" w:sz="6" w:space="0" w:color="000000"/>
              <w:left w:val="single" w:sz="6" w:space="0" w:color="000000"/>
              <w:right w:val="single" w:sz="6" w:space="0" w:color="000000"/>
            </w:tcBorders>
            <w:vAlign w:val="center"/>
          </w:tcPr>
          <w:p>
            <w:pPr>
              <w:pStyle w:val="20"/>
            </w:pPr>
            <w:r>
              <w:t>扩大免费开放服务受益人数</w:t>
            </w:r>
          </w:p>
        </w:tc>
        <w:tc>
          <w:tcPr>
            <w:tcW w:w="2268" w:type="dxa"/>
            <w:tcBorders>
              <w:top w:val="single" w:sz="6" w:space="0" w:color="000000"/>
              <w:left w:val="single" w:sz="6" w:space="0" w:color="000000"/>
              <w:right w:val="single" w:sz="6" w:space="0" w:color="000000"/>
            </w:tcBorders>
            <w:vAlign w:val="center"/>
          </w:tcPr>
          <w:p>
            <w:pPr>
              <w:pStyle w:val="20"/>
            </w:pPr>
            <w:r>
              <w:t>较上年增长</w:t>
            </w:r>
          </w:p>
        </w:tc>
        <w:tc>
          <w:tcPr>
            <w:tcW w:w="1276" w:type="dxa"/>
            <w:vAlign w:val="center"/>
          </w:tcPr>
          <w:p>
            <w:pPr>
              <w:pStyle w:val="20"/>
            </w:pPr>
            <w:r>
              <w:t>根据文化馆（站）免费开放管理意见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免费开放服务投诉处理效率</w:t>
            </w:r>
          </w:p>
        </w:tc>
        <w:tc>
          <w:tcPr>
            <w:tcW w:w="5386" w:type="dxa"/>
            <w:tcBorders>
              <w:top w:val="single" w:sz="6" w:space="0" w:color="000000"/>
              <w:left w:val="single" w:sz="6" w:space="0" w:color="000000"/>
              <w:right w:val="single" w:sz="6" w:space="0" w:color="000000"/>
            </w:tcBorders>
            <w:vAlign w:val="center"/>
          </w:tcPr>
          <w:p>
            <w:pPr>
              <w:pStyle w:val="20"/>
            </w:pPr>
            <w:r>
              <w:t>免费开放服务投诉处理效率</w:t>
            </w:r>
          </w:p>
        </w:tc>
        <w:tc>
          <w:tcPr>
            <w:tcW w:w="2268" w:type="dxa"/>
            <w:tcBorders>
              <w:top w:val="single" w:sz="6" w:space="0" w:color="000000"/>
              <w:left w:val="single" w:sz="6" w:space="0" w:color="000000"/>
              <w:right w:val="single" w:sz="6" w:space="0" w:color="000000"/>
            </w:tcBorders>
            <w:vAlign w:val="center"/>
          </w:tcPr>
          <w:p>
            <w:pPr>
              <w:pStyle w:val="20"/>
            </w:pPr>
            <w:r>
              <w:t>≤24小时</w:t>
            </w:r>
          </w:p>
        </w:tc>
        <w:tc>
          <w:tcPr>
            <w:tcW w:w="1276" w:type="dxa"/>
            <w:vAlign w:val="center"/>
          </w:tcPr>
          <w:p>
            <w:pPr>
              <w:pStyle w:val="20"/>
            </w:pPr>
            <w:r>
              <w:t>根据文化馆（站）免费开放管理意见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开展公益性群众文化活动增长率</w:t>
            </w:r>
          </w:p>
        </w:tc>
        <w:tc>
          <w:tcPr>
            <w:tcW w:w="5386" w:type="dxa"/>
            <w:tcBorders>
              <w:top w:val="single" w:sz="6" w:space="0" w:color="000000"/>
              <w:left w:val="single" w:sz="6" w:space="0" w:color="000000"/>
              <w:right w:val="single" w:sz="6" w:space="0" w:color="000000"/>
            </w:tcBorders>
            <w:vAlign w:val="center"/>
          </w:tcPr>
          <w:p>
            <w:pPr>
              <w:pStyle w:val="20"/>
            </w:pPr>
            <w:r>
              <w:t>开展公益性群众文化活动增长率</w:t>
            </w:r>
          </w:p>
        </w:tc>
        <w:tc>
          <w:tcPr>
            <w:tcW w:w="2268" w:type="dxa"/>
            <w:tcBorders>
              <w:top w:val="single" w:sz="6" w:space="0" w:color="000000"/>
              <w:left w:val="single" w:sz="6" w:space="0" w:color="000000"/>
              <w:right w:val="single" w:sz="6" w:space="0" w:color="000000"/>
            </w:tcBorders>
            <w:vAlign w:val="center"/>
          </w:tcPr>
          <w:p>
            <w:pPr>
              <w:pStyle w:val="20"/>
            </w:pPr>
            <w:r>
              <w:t>≥2%</w:t>
            </w:r>
          </w:p>
        </w:tc>
        <w:tc>
          <w:tcPr>
            <w:tcW w:w="1276" w:type="dxa"/>
            <w:vAlign w:val="center"/>
          </w:tcPr>
          <w:p>
            <w:pPr>
              <w:pStyle w:val="20"/>
            </w:pPr>
            <w:r>
              <w:t>根据文化馆（站）免费开放管理意见</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免费开放服务对象数量</w:t>
            </w:r>
          </w:p>
        </w:tc>
        <w:tc>
          <w:tcPr>
            <w:tcW w:w="5386" w:type="dxa"/>
            <w:tcBorders>
              <w:top w:val="single" w:sz="6" w:space="0" w:color="000000"/>
              <w:left w:val="single" w:sz="6" w:space="0" w:color="000000"/>
              <w:right w:val="single" w:sz="6" w:space="0" w:color="000000"/>
            </w:tcBorders>
            <w:vAlign w:val="center"/>
          </w:tcPr>
          <w:p>
            <w:pPr>
              <w:pStyle w:val="20"/>
            </w:pPr>
            <w:r>
              <w:t>免费开放服务对象数量</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根据文化馆（站）免费开放管理意见</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社会群众满意度</w:t>
            </w:r>
          </w:p>
        </w:tc>
        <w:tc>
          <w:tcPr>
            <w:tcW w:w="5386" w:type="dxa"/>
            <w:tcBorders>
              <w:top w:val="single" w:sz="6" w:space="0" w:color="000000"/>
              <w:left w:val="single" w:sz="6" w:space="0" w:color="000000"/>
              <w:right w:val="single" w:sz="6" w:space="0" w:color="000000"/>
            </w:tcBorders>
            <w:vAlign w:val="center"/>
          </w:tcPr>
          <w:p>
            <w:pPr>
              <w:pStyle w:val="20"/>
            </w:pPr>
            <w:r>
              <w:t>问卷调查社会群众对免费开放满意度</w:t>
            </w:r>
          </w:p>
        </w:tc>
        <w:tc>
          <w:tcPr>
            <w:tcW w:w="2268" w:type="dxa"/>
            <w:tcBorders>
              <w:top w:val="single" w:sz="6" w:space="0" w:color="000000"/>
              <w:left w:val="single" w:sz="6" w:space="0" w:color="000000"/>
              <w:right w:val="single" w:sz="6" w:space="0" w:color="000000"/>
            </w:tcBorders>
            <w:vAlign w:val="center"/>
          </w:tcPr>
          <w:p>
            <w:pPr>
              <w:pStyle w:val="20"/>
            </w:pPr>
            <w:r>
              <w:t xml:space="preserve">≥95% </w:t>
            </w:r>
          </w:p>
        </w:tc>
        <w:tc>
          <w:tcPr>
            <w:tcW w:w="1276" w:type="dxa"/>
            <w:vAlign w:val="center"/>
          </w:tcPr>
          <w:p>
            <w:pPr>
              <w:pStyle w:val="20"/>
            </w:pPr>
            <w:r>
              <w:t>测评</w:t>
            </w:r>
          </w:p>
        </w:tc>
      </w:tr>
    </w:tbl>
    <w:p>
      <w:pPr>
        <w:sectPr>
          <w:pgSz w:w="16840" w:h="11900" w:orient="landscape"/>
          <w:pgMar w:top="1361" w:right="1020" w:bottom="1134" w:left="1020" w:header="720" w:footer="720" w:gutter="0"/>
          <w:docGrid w:linePitch="326" w:charSpace="0"/>
        </w:sectPr>
      </w:pPr>
    </w:p>
    <w:p>
      <w:pPr>
        <w:spacing w:before="10" w:after="10" w:line="240" w:lineRule="auto"/>
        <w:ind w:firstLine="640"/>
        <w:jc w:val="left"/>
        <w:outlineLvl w:val="2"/>
      </w:pPr>
      <w:bookmarkStart w:id="17" w:name="_Toc_3_3_0000000017"/>
      <w:r>
        <w:rPr>
          <w:rFonts w:ascii="黑体" w:eastAsia="黑体" w:cs="黑体" w:hAnsi="黑体"/>
          <w:color w:val="000000"/>
          <w:sz w:val="32"/>
        </w:rPr>
        <w:t>八、政府采购预算情况</w:t>
      </w:r>
      <w:bookmarkEnd w:id="17"/>
    </w:p>
    <w:p>
      <w:pPr>
        <w:spacing w:before="0" w:after="0" w:line="240" w:lineRule="auto"/>
        <w:ind w:firstLine="0"/>
        <w:jc w:val="center"/>
        <w:outlineLvl w:val="9"/>
      </w:pPr>
      <w:r>
        <w:rPr>
          <w:rFonts w:ascii="方正小标宋_GBK" w:eastAsia="方正小标宋_GBK" w:cs="方正小标宋_GBK" w:hAnsi="方正小标宋_GBK"/>
          <w:color w:val="000000"/>
          <w:sz w:val="36"/>
        </w:rPr>
        <w:t>部门政府采购预算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357昌黎县旅游和文化广电局</w:t>
            </w:r>
          </w:p>
        </w:tc>
        <w:tc>
          <w:tcPr>
            <w:tcW w:w="8676" w:type="dxa"/>
            <w:gridSpan w:val="9"/>
            <w:tcBorders>
              <w:top w:val="single" w:sz="6" w:space="0" w:color="FFFFFF"/>
              <w:left w:val="single" w:sz="6" w:space="0" w:color="FFFFFF"/>
              <w:right w:val="single" w:sz="6" w:space="0" w:color="FFFFFF"/>
            </w:tcBorders>
            <w:vAlign w:val="center"/>
          </w:tcPr>
          <w:p>
            <w:pPr>
              <w:pStyle w:val="32"/>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2"/>
            </w:pPr>
            <w:r>
              <w:t>合  计</w:t>
            </w:r>
          </w:p>
        </w:tc>
        <w:tc>
          <w:tcPr>
            <w:tcW w:w="96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4"/>
            </w:pPr>
          </w:p>
        </w:tc>
        <w:tc>
          <w:tcPr>
            <w:tcW w:w="1134" w:type="dxa"/>
            <w:tcBorders>
              <w:top w:val="single" w:sz="6" w:space="0" w:color="000000"/>
              <w:left w:val="single" w:sz="6" w:space="0" w:color="000000"/>
              <w:right w:val="single" w:sz="6" w:space="0" w:color="000000"/>
            </w:tcBorders>
            <w:vAlign w:val="center"/>
          </w:tcPr>
          <w:p>
            <w:pPr>
              <w:pStyle w:val="24"/>
            </w:pPr>
          </w:p>
        </w:tc>
        <w:tc>
          <w:tcPr>
            <w:tcW w:w="709" w:type="dxa"/>
            <w:tcBorders>
              <w:top w:val="single" w:sz="6" w:space="0" w:color="000000"/>
              <w:left w:val="single" w:sz="6" w:space="0" w:color="000000"/>
              <w:right w:val="single" w:sz="6" w:space="0" w:color="000000"/>
            </w:tcBorders>
            <w:vAlign w:val="center"/>
          </w:tcPr>
          <w:p>
            <w:pPr>
              <w:pStyle w:val="22"/>
            </w:pPr>
          </w:p>
        </w:tc>
        <w:tc>
          <w:tcPr>
            <w:tcW w:w="850" w:type="dxa"/>
            <w:tcBorders>
              <w:top w:val="single" w:sz="6" w:space="0" w:color="000000"/>
              <w:left w:val="single" w:sz="6" w:space="0" w:color="000000"/>
              <w:right w:val="single" w:sz="6" w:space="0" w:color="000000"/>
            </w:tcBorders>
            <w:vAlign w:val="center"/>
          </w:tcPr>
          <w:p>
            <w:pPr>
              <w:pStyle w:val="23"/>
            </w:pPr>
          </w:p>
        </w:tc>
        <w:tc>
          <w:tcPr>
            <w:tcW w:w="850"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r>
              <w:t>82.22</w:t>
            </w:r>
          </w:p>
        </w:tc>
        <w:tc>
          <w:tcPr>
            <w:tcW w:w="964" w:type="dxa"/>
            <w:tcBorders>
              <w:top w:val="single" w:sz="6" w:space="0" w:color="000000"/>
              <w:left w:val="single" w:sz="6" w:space="0" w:color="000000"/>
              <w:right w:val="single" w:sz="6" w:space="0" w:color="000000"/>
            </w:tcBorders>
            <w:vAlign w:val="center"/>
          </w:tcPr>
          <w:p>
            <w:pPr>
              <w:pStyle w:val="23"/>
            </w:pPr>
            <w:r>
              <w:t>82.22</w:t>
            </w: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vAlign w:val="center"/>
          </w:tcPr>
          <w:p>
            <w:pPr>
              <w:pStyle w:val="23"/>
            </w:pPr>
            <w:r>
              <w:t>82.22</w:t>
            </w:r>
          </w:p>
        </w:tc>
      </w:tr>
      <w:tr>
        <w:tc>
          <w:tcPr>
            <w:tcW w:w="1701" w:type="dxa"/>
            <w:vAlign w:val="center"/>
          </w:tcPr>
          <w:p>
            <w:pPr>
              <w:pStyle w:val="22"/>
            </w:pPr>
            <w:r>
              <w:t>昌黎县文物研究保护所（昌黎县博物馆）小计</w:t>
            </w:r>
          </w:p>
        </w:tc>
        <w:tc>
          <w:tcPr>
            <w:tcW w:w="96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4"/>
            </w:pPr>
          </w:p>
        </w:tc>
        <w:tc>
          <w:tcPr>
            <w:tcW w:w="1134" w:type="dxa"/>
            <w:tcBorders>
              <w:top w:val="single" w:sz="6" w:space="0" w:color="000000"/>
              <w:left w:val="single" w:sz="6" w:space="0" w:color="000000"/>
              <w:right w:val="single" w:sz="6" w:space="0" w:color="000000"/>
            </w:tcBorders>
            <w:vAlign w:val="center"/>
          </w:tcPr>
          <w:p>
            <w:pPr>
              <w:pStyle w:val="24"/>
            </w:pPr>
          </w:p>
        </w:tc>
        <w:tc>
          <w:tcPr>
            <w:tcW w:w="709" w:type="dxa"/>
            <w:tcBorders>
              <w:top w:val="single" w:sz="6" w:space="0" w:color="000000"/>
              <w:left w:val="single" w:sz="6" w:space="0" w:color="000000"/>
              <w:right w:val="single" w:sz="6" w:space="0" w:color="000000"/>
            </w:tcBorders>
            <w:vAlign w:val="center"/>
          </w:tcPr>
          <w:p>
            <w:pPr>
              <w:pStyle w:val="22"/>
            </w:pPr>
          </w:p>
        </w:tc>
        <w:tc>
          <w:tcPr>
            <w:tcW w:w="850" w:type="dxa"/>
            <w:tcBorders>
              <w:top w:val="single" w:sz="6" w:space="0" w:color="000000"/>
              <w:left w:val="single" w:sz="6" w:space="0" w:color="000000"/>
              <w:right w:val="single" w:sz="6" w:space="0" w:color="000000"/>
            </w:tcBorders>
            <w:vAlign w:val="center"/>
          </w:tcPr>
          <w:p>
            <w:pPr>
              <w:pStyle w:val="23"/>
            </w:pPr>
          </w:p>
        </w:tc>
        <w:tc>
          <w:tcPr>
            <w:tcW w:w="850"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r>
              <w:t>82.22</w:t>
            </w:r>
          </w:p>
        </w:tc>
        <w:tc>
          <w:tcPr>
            <w:tcW w:w="964" w:type="dxa"/>
            <w:tcBorders>
              <w:top w:val="single" w:sz="6" w:space="0" w:color="000000"/>
              <w:left w:val="single" w:sz="6" w:space="0" w:color="000000"/>
              <w:right w:val="single" w:sz="6" w:space="0" w:color="000000"/>
            </w:tcBorders>
            <w:vAlign w:val="center"/>
          </w:tcPr>
          <w:p>
            <w:pPr>
              <w:pStyle w:val="23"/>
            </w:pPr>
            <w:r>
              <w:t>82.22</w:t>
            </w: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vAlign w:val="center"/>
          </w:tcPr>
          <w:p>
            <w:pPr>
              <w:pStyle w:val="23"/>
            </w:pPr>
            <w:r>
              <w:t>82.22</w:t>
            </w:r>
          </w:p>
        </w:tc>
      </w:tr>
      <w:tr>
        <w:tc>
          <w:tcPr>
            <w:tcW w:w="1701" w:type="dxa"/>
            <w:vAlign w:val="center"/>
          </w:tcPr>
          <w:p>
            <w:pPr>
              <w:pStyle w:val="20"/>
            </w:pPr>
            <w:r>
              <w:t>冀财教【2025】111号2026年国家文物保护专项资金</w:t>
              <w:tab/>
              <w:tab/>
            </w:r>
          </w:p>
          <w:p>
            <w:pPr>
              <w:pStyle w:val="20"/>
            </w:pPr>
          </w:p>
        </w:tc>
        <w:tc>
          <w:tcPr>
            <w:tcW w:w="964" w:type="dxa"/>
            <w:tcBorders>
              <w:top w:val="single" w:sz="6" w:space="0" w:color="000000"/>
              <w:left w:val="single" w:sz="6" w:space="0" w:color="000000"/>
              <w:right w:val="single" w:sz="6" w:space="0" w:color="000000"/>
            </w:tcBorders>
            <w:vAlign w:val="center"/>
          </w:tcPr>
          <w:p>
            <w:pPr>
              <w:pStyle w:val="19"/>
            </w:pPr>
            <w:r>
              <w:t>92.00</w:t>
            </w:r>
          </w:p>
        </w:tc>
        <w:tc>
          <w:tcPr>
            <w:tcW w:w="1134" w:type="dxa"/>
            <w:tcBorders>
              <w:top w:val="single" w:sz="6" w:space="0" w:color="000000"/>
              <w:left w:val="single" w:sz="6" w:space="0" w:color="000000"/>
              <w:right w:val="single" w:sz="6" w:space="0" w:color="000000"/>
            </w:tcBorders>
            <w:vAlign w:val="center"/>
          </w:tcPr>
          <w:p>
            <w:pPr>
              <w:pStyle w:val="20"/>
            </w:pPr>
            <w:r>
              <w:t>其他环境污染防治设备</w:t>
            </w:r>
          </w:p>
        </w:tc>
        <w:tc>
          <w:tcPr>
            <w:tcW w:w="1134" w:type="dxa"/>
            <w:tcBorders>
              <w:top w:val="single" w:sz="6" w:space="0" w:color="000000"/>
              <w:left w:val="single" w:sz="6" w:space="0" w:color="000000"/>
              <w:right w:val="single" w:sz="6" w:space="0" w:color="000000"/>
            </w:tcBorders>
            <w:vAlign w:val="center"/>
          </w:tcPr>
          <w:p>
            <w:pPr>
              <w:pStyle w:val="20"/>
            </w:pPr>
            <w:r>
              <w:t>A02369900</w:t>
            </w:r>
          </w:p>
        </w:tc>
        <w:tc>
          <w:tcPr>
            <w:tcW w:w="709" w:type="dxa"/>
            <w:tcBorders>
              <w:top w:val="single" w:sz="6" w:space="0" w:color="000000"/>
              <w:left w:val="single" w:sz="6" w:space="0" w:color="000000"/>
              <w:right w:val="single" w:sz="6" w:space="0" w:color="000000"/>
            </w:tcBorders>
            <w:vAlign w:val="center"/>
          </w:tcPr>
          <w:p>
            <w:pPr>
              <w:pStyle w:val="21"/>
            </w:pPr>
            <w:r>
              <w:t>台</w:t>
            </w:r>
          </w:p>
        </w:tc>
        <w:tc>
          <w:tcPr>
            <w:tcW w:w="850" w:type="dxa"/>
            <w:tcBorders>
              <w:top w:val="single" w:sz="6" w:space="0" w:color="000000"/>
              <w:left w:val="single" w:sz="6" w:space="0" w:color="000000"/>
              <w:right w:val="single" w:sz="6" w:space="0" w:color="000000"/>
            </w:tcBorders>
            <w:vAlign w:val="center"/>
          </w:tcPr>
          <w:p>
            <w:pPr>
              <w:pStyle w:val="19"/>
            </w:pPr>
            <w:r>
              <w:t>21</w:t>
            </w:r>
          </w:p>
        </w:tc>
        <w:tc>
          <w:tcPr>
            <w:tcW w:w="850" w:type="dxa"/>
            <w:tcBorders>
              <w:top w:val="single" w:sz="6" w:space="0" w:color="000000"/>
              <w:left w:val="single" w:sz="6" w:space="0" w:color="000000"/>
              <w:right w:val="single" w:sz="6" w:space="0" w:color="000000"/>
            </w:tcBorders>
            <w:vAlign w:val="center"/>
          </w:tcPr>
          <w:p>
            <w:pPr>
              <w:pStyle w:val="19"/>
            </w:pPr>
            <w:r>
              <w:t>0.25</w:t>
            </w:r>
          </w:p>
        </w:tc>
        <w:tc>
          <w:tcPr>
            <w:tcW w:w="964" w:type="dxa"/>
            <w:tcBorders>
              <w:top w:val="single" w:sz="6" w:space="0" w:color="000000"/>
              <w:left w:val="single" w:sz="6" w:space="0" w:color="000000"/>
              <w:right w:val="single" w:sz="6" w:space="0" w:color="000000"/>
            </w:tcBorders>
            <w:vAlign w:val="center"/>
          </w:tcPr>
          <w:p>
            <w:pPr>
              <w:pStyle w:val="19"/>
            </w:pPr>
            <w:r>
              <w:t>5.29</w:t>
            </w:r>
          </w:p>
        </w:tc>
        <w:tc>
          <w:tcPr>
            <w:tcW w:w="964" w:type="dxa"/>
            <w:tcBorders>
              <w:top w:val="single" w:sz="6" w:space="0" w:color="000000"/>
              <w:left w:val="single" w:sz="6" w:space="0" w:color="000000"/>
              <w:right w:val="single" w:sz="6" w:space="0" w:color="000000"/>
            </w:tcBorders>
            <w:vAlign w:val="center"/>
          </w:tcPr>
          <w:p>
            <w:pPr>
              <w:pStyle w:val="19"/>
            </w:pPr>
            <w:r>
              <w:t>5.29</w:t>
            </w: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r>
              <w:t>5.29</w:t>
            </w:r>
          </w:p>
        </w:tc>
      </w:tr>
      <w:tr>
        <w:tc>
          <w:tcPr>
            <w:tcW w:w="1701" w:type="dxa"/>
            <w:vAlign w:val="center"/>
          </w:tcPr>
          <w:p>
            <w:pPr>
              <w:pStyle w:val="20"/>
            </w:pPr>
            <w:r>
              <w:t>冀财教【2025】111号2026年国家文物保护专项资金</w:t>
              <w:tab/>
              <w:tab/>
            </w:r>
          </w:p>
          <w:p>
            <w:pPr>
              <w:pStyle w:val="20"/>
            </w:pPr>
          </w:p>
        </w:tc>
        <w:tc>
          <w:tcPr>
            <w:tcW w:w="964" w:type="dxa"/>
            <w:tcBorders>
              <w:top w:val="single" w:sz="6" w:space="0" w:color="000000"/>
              <w:left w:val="single" w:sz="6" w:space="0" w:color="000000"/>
              <w:right w:val="single" w:sz="6" w:space="0" w:color="000000"/>
            </w:tcBorders>
            <w:vAlign w:val="center"/>
          </w:tcPr>
          <w:p>
            <w:pPr>
              <w:pStyle w:val="19"/>
            </w:pPr>
            <w:r>
              <w:t>92.00</w:t>
            </w:r>
          </w:p>
        </w:tc>
        <w:tc>
          <w:tcPr>
            <w:tcW w:w="1134" w:type="dxa"/>
            <w:tcBorders>
              <w:top w:val="single" w:sz="6" w:space="0" w:color="000000"/>
              <w:left w:val="single" w:sz="6" w:space="0" w:color="000000"/>
              <w:right w:val="single" w:sz="6" w:space="0" w:color="000000"/>
            </w:tcBorders>
            <w:vAlign w:val="center"/>
          </w:tcPr>
          <w:p>
            <w:pPr>
              <w:pStyle w:val="20"/>
            </w:pPr>
            <w:r>
              <w:t>其他环境污染防治设备</w:t>
            </w:r>
          </w:p>
        </w:tc>
        <w:tc>
          <w:tcPr>
            <w:tcW w:w="1134" w:type="dxa"/>
            <w:tcBorders>
              <w:top w:val="single" w:sz="6" w:space="0" w:color="000000"/>
              <w:left w:val="single" w:sz="6" w:space="0" w:color="000000"/>
              <w:right w:val="single" w:sz="6" w:space="0" w:color="000000"/>
            </w:tcBorders>
            <w:vAlign w:val="center"/>
          </w:tcPr>
          <w:p>
            <w:pPr>
              <w:pStyle w:val="20"/>
            </w:pPr>
            <w:r>
              <w:t>A02369900</w:t>
            </w:r>
          </w:p>
        </w:tc>
        <w:tc>
          <w:tcPr>
            <w:tcW w:w="709" w:type="dxa"/>
            <w:tcBorders>
              <w:top w:val="single" w:sz="6" w:space="0" w:color="000000"/>
              <w:left w:val="single" w:sz="6" w:space="0" w:color="000000"/>
              <w:right w:val="single" w:sz="6" w:space="0" w:color="000000"/>
            </w:tcBorders>
            <w:vAlign w:val="center"/>
          </w:tcPr>
          <w:p>
            <w:pPr>
              <w:pStyle w:val="21"/>
            </w:pPr>
            <w:r>
              <w:t>台</w:t>
            </w:r>
          </w:p>
        </w:tc>
        <w:tc>
          <w:tcPr>
            <w:tcW w:w="850" w:type="dxa"/>
            <w:tcBorders>
              <w:top w:val="single" w:sz="6" w:space="0" w:color="000000"/>
              <w:left w:val="single" w:sz="6" w:space="0" w:color="000000"/>
              <w:right w:val="single" w:sz="6" w:space="0" w:color="000000"/>
            </w:tcBorders>
            <w:vAlign w:val="center"/>
          </w:tcPr>
          <w:p>
            <w:pPr>
              <w:pStyle w:val="19"/>
            </w:pPr>
            <w:r>
              <w:t>4</w:t>
            </w:r>
          </w:p>
        </w:tc>
        <w:tc>
          <w:tcPr>
            <w:tcW w:w="850" w:type="dxa"/>
            <w:tcBorders>
              <w:top w:val="single" w:sz="6" w:space="0" w:color="000000"/>
              <w:left w:val="single" w:sz="6" w:space="0" w:color="000000"/>
              <w:right w:val="single" w:sz="6" w:space="0" w:color="000000"/>
            </w:tcBorders>
            <w:vAlign w:val="center"/>
          </w:tcPr>
          <w:p>
            <w:pPr>
              <w:pStyle w:val="19"/>
            </w:pPr>
            <w:r>
              <w:t>5.00</w:t>
            </w:r>
          </w:p>
        </w:tc>
        <w:tc>
          <w:tcPr>
            <w:tcW w:w="964" w:type="dxa"/>
            <w:tcBorders>
              <w:top w:val="single" w:sz="6" w:space="0" w:color="000000"/>
              <w:left w:val="single" w:sz="6" w:space="0" w:color="000000"/>
              <w:right w:val="single" w:sz="6" w:space="0" w:color="000000"/>
            </w:tcBorders>
            <w:vAlign w:val="center"/>
          </w:tcPr>
          <w:p>
            <w:pPr>
              <w:pStyle w:val="19"/>
            </w:pPr>
            <w:r>
              <w:t>20.02</w:t>
            </w:r>
          </w:p>
        </w:tc>
        <w:tc>
          <w:tcPr>
            <w:tcW w:w="964" w:type="dxa"/>
            <w:tcBorders>
              <w:top w:val="single" w:sz="6" w:space="0" w:color="000000"/>
              <w:left w:val="single" w:sz="6" w:space="0" w:color="000000"/>
              <w:right w:val="single" w:sz="6" w:space="0" w:color="000000"/>
            </w:tcBorders>
            <w:vAlign w:val="center"/>
          </w:tcPr>
          <w:p>
            <w:pPr>
              <w:pStyle w:val="19"/>
            </w:pPr>
            <w:r>
              <w:t>20.02</w:t>
            </w: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r>
              <w:t>20.02</w:t>
            </w:r>
          </w:p>
        </w:tc>
      </w:tr>
      <w:tr>
        <w:tc>
          <w:tcPr>
            <w:tcW w:w="1701" w:type="dxa"/>
            <w:vAlign w:val="center"/>
          </w:tcPr>
          <w:p>
            <w:pPr>
              <w:pStyle w:val="20"/>
            </w:pPr>
            <w:r>
              <w:t>冀财教【2025】111号2026年国家文物保护专项资金</w:t>
              <w:tab/>
              <w:tab/>
            </w:r>
          </w:p>
          <w:p>
            <w:pPr>
              <w:pStyle w:val="20"/>
            </w:pPr>
          </w:p>
        </w:tc>
        <w:tc>
          <w:tcPr>
            <w:tcW w:w="964" w:type="dxa"/>
            <w:tcBorders>
              <w:top w:val="single" w:sz="6" w:space="0" w:color="000000"/>
              <w:left w:val="single" w:sz="6" w:space="0" w:color="000000"/>
              <w:right w:val="single" w:sz="6" w:space="0" w:color="000000"/>
            </w:tcBorders>
            <w:vAlign w:val="center"/>
          </w:tcPr>
          <w:p>
            <w:pPr>
              <w:pStyle w:val="19"/>
            </w:pPr>
            <w:r>
              <w:t>92.00</w:t>
            </w:r>
          </w:p>
        </w:tc>
        <w:tc>
          <w:tcPr>
            <w:tcW w:w="1134" w:type="dxa"/>
            <w:tcBorders>
              <w:top w:val="single" w:sz="6" w:space="0" w:color="000000"/>
              <w:left w:val="single" w:sz="6" w:space="0" w:color="000000"/>
              <w:right w:val="single" w:sz="6" w:space="0" w:color="000000"/>
            </w:tcBorders>
            <w:vAlign w:val="center"/>
          </w:tcPr>
          <w:p>
            <w:pPr>
              <w:pStyle w:val="20"/>
            </w:pPr>
            <w:r>
              <w:t>其他柜类</w:t>
            </w:r>
          </w:p>
        </w:tc>
        <w:tc>
          <w:tcPr>
            <w:tcW w:w="1134" w:type="dxa"/>
            <w:tcBorders>
              <w:top w:val="single" w:sz="6" w:space="0" w:color="000000"/>
              <w:left w:val="single" w:sz="6" w:space="0" w:color="000000"/>
              <w:right w:val="single" w:sz="6" w:space="0" w:color="000000"/>
            </w:tcBorders>
            <w:vAlign w:val="center"/>
          </w:tcPr>
          <w:p>
            <w:pPr>
              <w:pStyle w:val="20"/>
            </w:pPr>
            <w:r>
              <w:t>A05010599</w:t>
            </w:r>
          </w:p>
        </w:tc>
        <w:tc>
          <w:tcPr>
            <w:tcW w:w="709" w:type="dxa"/>
            <w:tcBorders>
              <w:top w:val="single" w:sz="6" w:space="0" w:color="000000"/>
              <w:left w:val="single" w:sz="6" w:space="0" w:color="000000"/>
              <w:right w:val="single" w:sz="6" w:space="0" w:color="000000"/>
            </w:tcBorders>
            <w:vAlign w:val="center"/>
          </w:tcPr>
          <w:p>
            <w:pPr>
              <w:pStyle w:val="21"/>
            </w:pPr>
            <w:r>
              <w:t>件</w:t>
            </w:r>
          </w:p>
        </w:tc>
        <w:tc>
          <w:tcPr>
            <w:tcW w:w="850" w:type="dxa"/>
            <w:tcBorders>
              <w:top w:val="single" w:sz="6" w:space="0" w:color="000000"/>
              <w:left w:val="single" w:sz="6" w:space="0" w:color="000000"/>
              <w:right w:val="single" w:sz="6" w:space="0" w:color="000000"/>
            </w:tcBorders>
            <w:vAlign w:val="center"/>
          </w:tcPr>
          <w:p>
            <w:pPr>
              <w:pStyle w:val="19"/>
            </w:pPr>
            <w:r>
              <w:t>21</w:t>
            </w:r>
          </w:p>
        </w:tc>
        <w:tc>
          <w:tcPr>
            <w:tcW w:w="850" w:type="dxa"/>
            <w:tcBorders>
              <w:top w:val="single" w:sz="6" w:space="0" w:color="000000"/>
              <w:left w:val="single" w:sz="6" w:space="0" w:color="000000"/>
              <w:right w:val="single" w:sz="6" w:space="0" w:color="000000"/>
            </w:tcBorders>
            <w:vAlign w:val="center"/>
          </w:tcPr>
          <w:p>
            <w:pPr>
              <w:pStyle w:val="19"/>
            </w:pPr>
            <w:r>
              <w:t>2.59</w:t>
            </w:r>
          </w:p>
        </w:tc>
        <w:tc>
          <w:tcPr>
            <w:tcW w:w="964" w:type="dxa"/>
            <w:tcBorders>
              <w:top w:val="single" w:sz="6" w:space="0" w:color="000000"/>
              <w:left w:val="single" w:sz="6" w:space="0" w:color="000000"/>
              <w:right w:val="single" w:sz="6" w:space="0" w:color="000000"/>
            </w:tcBorders>
            <w:vAlign w:val="center"/>
          </w:tcPr>
          <w:p>
            <w:pPr>
              <w:pStyle w:val="19"/>
            </w:pPr>
            <w:r>
              <w:t>54.39</w:t>
            </w:r>
          </w:p>
        </w:tc>
        <w:tc>
          <w:tcPr>
            <w:tcW w:w="964" w:type="dxa"/>
            <w:tcBorders>
              <w:top w:val="single" w:sz="6" w:space="0" w:color="000000"/>
              <w:left w:val="single" w:sz="6" w:space="0" w:color="000000"/>
              <w:right w:val="single" w:sz="6" w:space="0" w:color="000000"/>
            </w:tcBorders>
            <w:vAlign w:val="center"/>
          </w:tcPr>
          <w:p>
            <w:pPr>
              <w:pStyle w:val="19"/>
            </w:pPr>
            <w:r>
              <w:t>54.39</w:t>
            </w: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r>
              <w:t>54.39</w:t>
            </w:r>
          </w:p>
        </w:tc>
      </w:tr>
      <w:tr>
        <w:tc>
          <w:tcPr>
            <w:tcW w:w="1701" w:type="dxa"/>
            <w:vAlign w:val="center"/>
          </w:tcPr>
          <w:p>
            <w:pPr>
              <w:pStyle w:val="20"/>
            </w:pPr>
            <w:r>
              <w:t>冀财教【2025】111号2026年国家文物保护专项资金</w:t>
              <w:tab/>
              <w:tab/>
            </w:r>
          </w:p>
          <w:p>
            <w:pPr>
              <w:pStyle w:val="20"/>
            </w:pPr>
          </w:p>
        </w:tc>
        <w:tc>
          <w:tcPr>
            <w:tcW w:w="964" w:type="dxa"/>
            <w:tcBorders>
              <w:top w:val="single" w:sz="6" w:space="0" w:color="000000"/>
              <w:left w:val="single" w:sz="6" w:space="0" w:color="000000"/>
              <w:right w:val="single" w:sz="6" w:space="0" w:color="000000"/>
            </w:tcBorders>
            <w:vAlign w:val="center"/>
          </w:tcPr>
          <w:p>
            <w:pPr>
              <w:pStyle w:val="19"/>
            </w:pPr>
            <w:r>
              <w:t>92.00</w:t>
            </w:r>
          </w:p>
        </w:tc>
        <w:tc>
          <w:tcPr>
            <w:tcW w:w="1134" w:type="dxa"/>
            <w:tcBorders>
              <w:top w:val="single" w:sz="6" w:space="0" w:color="000000"/>
              <w:left w:val="single" w:sz="6" w:space="0" w:color="000000"/>
              <w:right w:val="single" w:sz="6" w:space="0" w:color="000000"/>
            </w:tcBorders>
            <w:vAlign w:val="center"/>
          </w:tcPr>
          <w:p>
            <w:pPr>
              <w:pStyle w:val="20"/>
            </w:pPr>
            <w:r>
              <w:t>其他装具</w:t>
            </w:r>
          </w:p>
        </w:tc>
        <w:tc>
          <w:tcPr>
            <w:tcW w:w="1134" w:type="dxa"/>
            <w:tcBorders>
              <w:top w:val="single" w:sz="6" w:space="0" w:color="000000"/>
              <w:left w:val="single" w:sz="6" w:space="0" w:color="000000"/>
              <w:right w:val="single" w:sz="6" w:space="0" w:color="000000"/>
            </w:tcBorders>
            <w:vAlign w:val="center"/>
          </w:tcPr>
          <w:p>
            <w:pPr>
              <w:pStyle w:val="20"/>
            </w:pPr>
            <w:r>
              <w:t>A05039900</w:t>
            </w:r>
          </w:p>
        </w:tc>
        <w:tc>
          <w:tcPr>
            <w:tcW w:w="709" w:type="dxa"/>
            <w:tcBorders>
              <w:top w:val="single" w:sz="6" w:space="0" w:color="000000"/>
              <w:left w:val="single" w:sz="6" w:space="0" w:color="000000"/>
              <w:right w:val="single" w:sz="6" w:space="0" w:color="000000"/>
            </w:tcBorders>
            <w:vAlign w:val="center"/>
          </w:tcPr>
          <w:p>
            <w:pPr>
              <w:pStyle w:val="21"/>
            </w:pPr>
            <w:r>
              <w:t>个</w:t>
            </w:r>
          </w:p>
        </w:tc>
        <w:tc>
          <w:tcPr>
            <w:tcW w:w="850" w:type="dxa"/>
            <w:tcBorders>
              <w:top w:val="single" w:sz="6" w:space="0" w:color="000000"/>
              <w:left w:val="single" w:sz="6" w:space="0" w:color="000000"/>
              <w:right w:val="single" w:sz="6" w:space="0" w:color="000000"/>
            </w:tcBorders>
            <w:vAlign w:val="center"/>
          </w:tcPr>
          <w:p>
            <w:pPr>
              <w:pStyle w:val="19"/>
            </w:pPr>
            <w:r>
              <w:t>36</w:t>
            </w:r>
          </w:p>
        </w:tc>
        <w:tc>
          <w:tcPr>
            <w:tcW w:w="850" w:type="dxa"/>
            <w:tcBorders>
              <w:top w:val="single" w:sz="6" w:space="0" w:color="000000"/>
              <w:left w:val="single" w:sz="6" w:space="0" w:color="000000"/>
              <w:right w:val="single" w:sz="6" w:space="0" w:color="000000"/>
            </w:tcBorders>
            <w:vAlign w:val="center"/>
          </w:tcPr>
          <w:p>
            <w:pPr>
              <w:pStyle w:val="19"/>
            </w:pPr>
            <w:r>
              <w:t>0.07</w:t>
            </w:r>
          </w:p>
        </w:tc>
        <w:tc>
          <w:tcPr>
            <w:tcW w:w="964" w:type="dxa"/>
            <w:tcBorders>
              <w:top w:val="single" w:sz="6" w:space="0" w:color="000000"/>
              <w:left w:val="single" w:sz="6" w:space="0" w:color="000000"/>
              <w:right w:val="single" w:sz="6" w:space="0" w:color="000000"/>
            </w:tcBorders>
            <w:vAlign w:val="center"/>
          </w:tcPr>
          <w:p>
            <w:pPr>
              <w:pStyle w:val="19"/>
            </w:pPr>
            <w:r>
              <w:t>2.52</w:t>
            </w:r>
          </w:p>
        </w:tc>
        <w:tc>
          <w:tcPr>
            <w:tcW w:w="964" w:type="dxa"/>
            <w:tcBorders>
              <w:top w:val="single" w:sz="6" w:space="0" w:color="000000"/>
              <w:left w:val="single" w:sz="6" w:space="0" w:color="000000"/>
              <w:right w:val="single" w:sz="6" w:space="0" w:color="000000"/>
            </w:tcBorders>
            <w:vAlign w:val="center"/>
          </w:tcPr>
          <w:p>
            <w:pPr>
              <w:pStyle w:val="19"/>
            </w:pPr>
            <w:r>
              <w:t>2.52</w:t>
            </w: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r>
              <w:t>2.52</w:t>
            </w: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8" w:name="_Toc_3_3_0000000018"/>
      <w:r>
        <w:rPr>
          <w:rFonts w:ascii="黑体" w:eastAsia="黑体" w:cs="黑体" w:hAnsi="黑体"/>
          <w:color w:val="000000"/>
          <w:sz w:val="32"/>
        </w:rPr>
        <w:t>九、国有资产信息</w:t>
      </w:r>
      <w:bookmarkEnd w:id="18"/>
    </w:p>
    <w:p>
      <w:pPr>
        <w:spacing w:before="0" w:after="0" w:line="500" w:lineRule="exact"/>
        <w:ind w:firstLine="560"/>
        <w:jc w:val="left"/>
        <w:outlineLvl w:val="9"/>
      </w:pPr>
      <w:r>
        <w:rPr>
          <w:rFonts w:ascii="Times New Roman" w:eastAsia="方正仿宋_GBK" w:cs="Times New Roman" w:hAnsi="Times New Roman"/>
          <w:b w:val="0"/>
          <w:color w:val="000000"/>
          <w:sz w:val="28"/>
        </w:rPr>
        <w:t>昌黎县旅游和文化广电局（含所属单位）上年末固定资产金额为779.06万元（详见下表）。本年度拟购置固定资产总额为102.02万元，已按要求列入政府采购预算，详见政府采购预算表。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部门固定资产占用情况表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357昌黎县旅游和文化广电局</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r>
              <w:t>779.06</w:t>
            </w: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r>
              <w:t>1660.65</w:t>
            </w:r>
          </w:p>
        </w:tc>
        <w:tc>
          <w:tcPr>
            <w:tcW w:w="2835" w:type="dxa"/>
            <w:vAlign w:val="center"/>
          </w:tcPr>
          <w:p>
            <w:pPr>
              <w:pStyle w:val="19"/>
            </w:pPr>
            <w:r>
              <w:t>187.21</w:t>
            </w: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r>
              <w:t>4</w:t>
            </w:r>
          </w:p>
        </w:tc>
        <w:tc>
          <w:tcPr>
            <w:tcW w:w="2835" w:type="dxa"/>
            <w:vAlign w:val="center"/>
          </w:tcPr>
          <w:p>
            <w:pPr>
              <w:pStyle w:val="19"/>
            </w:pPr>
            <w:r>
              <w:t>63.53</w:t>
            </w: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r>
              <w:t>36674</w:t>
            </w:r>
          </w:p>
        </w:tc>
        <w:tc>
          <w:tcPr>
            <w:tcW w:w="2835" w:type="dxa"/>
            <w:vAlign w:val="center"/>
          </w:tcPr>
          <w:p>
            <w:pPr>
              <w:pStyle w:val="19"/>
            </w:pPr>
            <w:r>
              <w:t>528.33</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9" w:name="_Toc_3_3_0000000019"/>
      <w:r>
        <w:rPr>
          <w:rFonts w:ascii="黑体" w:eastAsia="黑体" w:cs="黑体" w:hAnsi="黑体"/>
          <w:color w:val="000000"/>
          <w:sz w:val="32"/>
        </w:rPr>
        <w:t>十、名词解释</w:t>
      </w:r>
      <w:bookmarkEnd w:id="19"/>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部门预算支出：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20" w:name="_Toc_3_3_0000000020"/>
      <w:r>
        <w:rPr>
          <w:rFonts w:ascii="黑体" w:eastAsia="黑体" w:cs="黑体" w:hAnsi="黑体"/>
          <w:color w:val="000000"/>
          <w:sz w:val="32"/>
        </w:rPr>
        <w:t>十一、其他需要说明的事项</w:t>
      </w:r>
      <w:bookmarkEnd w:id="20"/>
    </w:p>
    <w:p>
      <w:pPr>
        <w:spacing w:before="0" w:after="0" w:line="500" w:lineRule="exact"/>
        <w:ind w:firstLine="560"/>
        <w:jc w:val="left"/>
        <w:outlineLvl w:val="9"/>
      </w:pPr>
      <w:r>
        <w:rPr>
          <w:rFonts w:ascii="Times New Roman" w:eastAsia="方正仿宋_GBK" w:cs="Times New Roman" w:hAnsi="Times New Roman"/>
          <w:b w:val="0"/>
          <w:color w:val="000000"/>
          <w:sz w:val="28"/>
        </w:rPr>
        <w:t>我部门无其他需要说明的事项。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楷体_GBK">
    <w:panose1 w:val="02000000000000000000"/>
    <w:charset w:val="86"/>
    <w:family w:val="script"/>
    <w:pitch w:val="variable"/>
    <w:sig w:usb0="A00002BF" w:usb1="38CF7CFA" w:usb2="00082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书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61</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62</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56"/>
  <w:bordersDoNotSurroundHeader w:val="0"/>
  <w:bordersDoNotSurroundFooter w:val="0"/>
  <w:defaultTabStop w:val="4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rPr>
      <w:rFonts w:ascii="Times New Roman" w:hAnsi="Times New Roman"/>
      <w:sz w:val="24"/>
      <w:szCs w:val="24"/>
      <w:lang w:val="en-US" w:eastAsia="uk-UA"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customStyle="1" w:styleId="15">
    <w:name w:val="单元格样式22"/>
    <w:basedOn w:val="0"/>
    <w:pPr>
      <w:spacing w:before="0" w:after="0"/>
      <w:ind w:firstLine="0"/>
      <w:jc w:val="right"/>
      <w:outlineLvl w:val="9"/>
    </w:pPr>
    <w:rPr>
      <w:rFonts w:ascii="方正小标宋_GBK" w:eastAsia="方正小标宋_GBK" w:cs="方正小标宋_GBK" w:hAnsi="方正小标宋_GBK"/>
      <w:sz w:val="24"/>
    </w:rPr>
  </w:style>
  <w:style w:type="paragraph" w:customStyle="1" w:styleId="16">
    <w:name w:val="单元格样式21"/>
    <w:basedOn w:val="0"/>
    <w:pPr>
      <w:spacing w:before="0" w:after="0"/>
      <w:ind w:firstLine="0"/>
      <w:jc w:val="center"/>
      <w:outlineLvl w:val="9"/>
    </w:pPr>
    <w:rPr>
      <w:rFonts w:ascii="方正小标宋_GBK" w:eastAsia="方正小标宋_GBK" w:cs="方正小标宋_GBK" w:hAnsi="方正小标宋_GBK"/>
      <w:sz w:val="24"/>
    </w:rPr>
  </w:style>
  <w:style w:type="paragraph" w:customStyle="1" w:styleId="17">
    <w:name w:val="单元格样式20"/>
    <w:basedOn w:val="0"/>
    <w:pPr>
      <w:spacing w:before="0" w:after="0"/>
      <w:ind w:firstLine="0"/>
      <w:jc w:val="left"/>
      <w:outlineLvl w:val="9"/>
    </w:pPr>
    <w:rPr>
      <w:rFonts w:ascii="方正小标宋_GBK" w:eastAsia="方正小标宋_GBK" w:cs="方正小标宋_GBK" w:hAnsi="方正小标宋_GBK"/>
      <w:sz w:val="24"/>
    </w:rPr>
  </w:style>
  <w:style w:type="paragraph" w:customStyle="1" w:styleId="18">
    <w:name w:val="单元格样式1"/>
    <w:basedOn w:val="0"/>
    <w:pPr>
      <w:spacing w:before="0" w:after="0"/>
      <w:ind w:firstLine="0"/>
      <w:jc w:val="center"/>
      <w:outlineLvl w:val="9"/>
    </w:pPr>
    <w:rPr>
      <w:rFonts w:ascii="方正书宋_GBK" w:eastAsia="方正书宋_GBK" w:cs="方正书宋_GBK" w:hAnsi="方正书宋_GBK"/>
      <w:b/>
      <w:sz w:val="21"/>
    </w:rPr>
  </w:style>
  <w:style w:type="paragraph" w:customStyle="1" w:styleId="19">
    <w:name w:val="单元格样式4"/>
    <w:basedOn w:val="0"/>
    <w:pPr>
      <w:spacing w:before="0" w:after="0"/>
      <w:ind w:firstLine="0"/>
      <w:jc w:val="right"/>
      <w:outlineLvl w:val="9"/>
    </w:pPr>
    <w:rPr>
      <w:rFonts w:ascii="方正书宋_GBK" w:eastAsia="方正书宋_GBK" w:cs="方正书宋_GBK" w:hAnsi="方正书宋_GBK"/>
      <w:sz w:val="21"/>
    </w:rPr>
  </w:style>
  <w:style w:type="paragraph" w:customStyle="1" w:styleId="20">
    <w:name w:val="单元格样式2"/>
    <w:basedOn w:val="0"/>
    <w:pPr>
      <w:spacing w:before="0" w:after="0"/>
      <w:ind w:firstLine="0"/>
      <w:jc w:val="left"/>
      <w:outlineLvl w:val="9"/>
    </w:pPr>
    <w:rPr>
      <w:rFonts w:ascii="方正书宋_GBK" w:eastAsia="方正书宋_GBK" w:cs="方正书宋_GBK" w:hAnsi="方正书宋_GBK"/>
      <w:sz w:val="21"/>
    </w:rPr>
  </w:style>
  <w:style w:type="paragraph" w:customStyle="1" w:styleId="21">
    <w:name w:val="单元格样式3"/>
    <w:basedOn w:val="0"/>
    <w:pPr>
      <w:spacing w:before="0" w:after="0"/>
      <w:ind w:firstLine="0"/>
      <w:jc w:val="center"/>
      <w:outlineLvl w:val="9"/>
    </w:pPr>
    <w:rPr>
      <w:rFonts w:ascii="方正书宋_GBK" w:eastAsia="方正书宋_GBK" w:cs="方正书宋_GBK" w:hAnsi="方正书宋_GBK"/>
      <w:sz w:val="21"/>
    </w:rPr>
  </w:style>
  <w:style w:type="paragraph" w:customStyle="1" w:styleId="22">
    <w:name w:val="单元格样式6"/>
    <w:basedOn w:val="0"/>
    <w:pPr>
      <w:spacing w:before="0" w:after="0"/>
      <w:ind w:firstLine="0"/>
      <w:jc w:val="center"/>
      <w:outlineLvl w:val="9"/>
    </w:pPr>
    <w:rPr>
      <w:rFonts w:ascii="方正书宋_GBK" w:eastAsia="方正书宋_GBK" w:cs="方正书宋_GBK" w:hAnsi="方正书宋_GBK"/>
      <w:b/>
      <w:sz w:val="21"/>
    </w:rPr>
  </w:style>
  <w:style w:type="paragraph" w:customStyle="1" w:styleId="23">
    <w:name w:val="单元格样式7"/>
    <w:basedOn w:val="0"/>
    <w:pPr>
      <w:spacing w:before="0" w:after="0"/>
      <w:ind w:firstLine="0"/>
      <w:jc w:val="right"/>
      <w:outlineLvl w:val="9"/>
    </w:pPr>
    <w:rPr>
      <w:rFonts w:ascii="方正书宋_GBK" w:eastAsia="方正书宋_GBK" w:cs="方正书宋_GBK" w:hAnsi="方正书宋_GBK"/>
      <w:b/>
      <w:sz w:val="21"/>
    </w:rPr>
  </w:style>
  <w:style w:type="paragraph" w:customStyle="1" w:styleId="24">
    <w:name w:val="单元格样式5"/>
    <w:basedOn w:val="0"/>
    <w:pPr>
      <w:spacing w:before="0" w:after="0"/>
      <w:ind w:firstLine="0"/>
      <w:jc w:val="left"/>
      <w:outlineLvl w:val="9"/>
    </w:pPr>
    <w:rPr>
      <w:rFonts w:ascii="方正书宋_GBK" w:eastAsia="方正书宋_GBK" w:cs="方正书宋_GBK" w:hAnsi="方正书宋_GBK"/>
      <w:b/>
      <w:sz w:val="21"/>
    </w:rPr>
  </w:style>
  <w:style w:type="paragraph" w:customStyle="1" w:styleId="25">
    <w:name w:val="插入文本样式-插入预算公开部门职责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6">
    <w:name w:val="插入文本样式-插入预算公开部门预算安排的总体情况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7">
    <w:name w:val="插入文本样式-插入预算公开部门机关运行经费安排情况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8">
    <w:name w:val="插入文本样式-插入预算公开部门财政拨款三公经费预算情况及增减变化原因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9">
    <w:name w:val="插入文本样式-插入总体目标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0">
    <w:name w:val="插入文本样式-插入职责分类绩效目标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1">
    <w:name w:val="插入文本样式-插入实现年度发展规划目标的保障措施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2">
    <w:name w:val="单元格样式23"/>
    <w:pPr>
      <w:spacing w:before="0" w:after="0"/>
      <w:ind w:firstLine="0"/>
      <w:jc w:val="right"/>
      <w:outlineLvl w:val="9"/>
    </w:pPr>
    <w:rPr>
      <w:rFonts w:ascii="方正书宋_GBK" w:eastAsia="方正书宋_GBK" w:cs="方正书宋_GBK" w:hAnsi="方正书宋_GBK"/>
      <w:sz w:val="24"/>
    </w:rPr>
  </w:style>
  <w:style w:type="paragraph" w:customStyle="1" w:styleId="33">
    <w:name w:val="TOC 2"/>
    <w:basedOn w:val="0"/>
    <w:pPr>
      <w:ind w:left="240"/>
    </w:pPr>
  </w:style>
  <w:style w:type="paragraph" w:customStyle="1" w:styleId="34">
    <w:name w:val="TOC 3"/>
    <w:basedOn w:val="0"/>
    <w:pPr>
      <w:ind w:left="480"/>
    </w:pPr>
  </w:style>
  <w:style w:type="paragraph" w:customStyle="1" w:styleId="35">
    <w:name w:val="TOC 1"/>
    <w:basedOn w:val="0"/>
    <w:pPr>
      <w:spacing w:before="120" w:line="240" w:lineRule="auto"/>
      <w:ind w:firstLine="560"/>
    </w:pPr>
    <w:rPr>
      <w:rFonts w:ascii="Times New Roman" w:eastAsia="方正仿宋_GBK" w:cs="Times New Roman" w:hAnsi="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6FDA6D09-9601-4DCF-B521-D565282F22E0}">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6</TotalTime>
  <Application>Yozo_Office27021597764231179</Application>
  <Pages>64</Pages>
  <Words>0</Words>
  <Characters>23295</Characters>
  <Lines>0</Lines>
  <Paragraphs>257</Paragraphs>
  <CharactersWithSpaces>31060</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Administrator</cp:lastModifiedBy>
  <cp:revision>1</cp:revision>
  <dcterms:created xsi:type="dcterms:W3CDTF">2026-01-30T11:47:13Z</dcterms:created>
  <dcterms:modified xsi:type="dcterms:W3CDTF">2026-01-30T07:22:54Z</dcterms:modified>
</cp:coreProperties>
</file>