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0"/>
        <w:tabs>
          <w:tab w:val="right" w:leader="dot" w:pos="14562"/>
        </w:tabs>
      </w:pPr>
      <w:r>
        <w:fldChar w:fldCharType="begin"/>
      </w:r>
      <w:r>
        <w:instrText xml:space="preserve">TOC \o "2-2" \h \z \u </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0"/>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0"/>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0"/>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0"/>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0"/>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0"/>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0"/>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0"/>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0"/>
        <w:tabs>
          <w:tab w:val="right" w:leader="dot" w:pos="14562"/>
        </w:tabs>
      </w:pPr>
      <w:r>
        <w:fldChar w:fldCharType="begin"/>
      </w:r>
      <w:r>
        <w:instrText xml:space="preserve">TOC \o "3-3" \h \z \u </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0"/>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30"/>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pPr>
        <w:pStyle w:val="30"/>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pPr>
        <w:pStyle w:val="30"/>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pPr>
        <w:pStyle w:val="30"/>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pPr>
        <w:pStyle w:val="30"/>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pPr>
        <w:pStyle w:val="30"/>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22</w:t>
      </w:r>
      <w:r>
        <w:fldChar w:fldCharType="end"/>
      </w:r>
      <w:r>
        <w:fldChar w:fldCharType="end"/>
      </w:r>
    </w:p>
    <w:p>
      <w:pPr>
        <w:pStyle w:val="30"/>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22</w:t>
      </w:r>
      <w:r>
        <w:fldChar w:fldCharType="end"/>
      </w:r>
      <w:r>
        <w:fldChar w:fldCharType="end"/>
      </w:r>
    </w:p>
    <w:p>
      <w:pPr>
        <w:pStyle w:val="30"/>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23</w:t>
      </w:r>
      <w:r>
        <w:fldChar w:fldCharType="end"/>
      </w:r>
      <w:r>
        <w:fldChar w:fldCharType="end"/>
      </w:r>
    </w:p>
    <w:p>
      <w:pPr>
        <w:pStyle w:val="30"/>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24</w:t>
      </w:r>
      <w:r>
        <w:fldChar w:fldCharType="end"/>
      </w:r>
      <w:r>
        <w:fldChar w:fldCharType="end"/>
      </w:r>
    </w:p>
    <w:p>
      <w:pPr>
        <w:sectPr>
          <w:pgSz w:w="16840" w:h="11900" w:orient="landscape"/>
          <w:pgMar w:top="1587" w:right="1134" w:bottom="1361" w:left="1134" w:header="720" w:footer="720" w:gutter="0"/>
          <w:pgNumType w:start="1"/>
          <w:cols w:space="720" w:num="1"/>
          <w:docGrid w:linePitch="326" w:charSpace="0"/>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2"/>
            </w:pPr>
            <w:r>
              <w:t>436昌黎县重点项目服务中心</w:t>
            </w:r>
          </w:p>
        </w:tc>
        <w:tc>
          <w:tcPr>
            <w:tcW w:w="2126" w:type="dxa"/>
            <w:tcBorders>
              <w:top w:val="single" w:color="FFFFFF" w:sz="6" w:space="0"/>
              <w:left w:val="single" w:color="FFFFFF" w:sz="6" w:space="0"/>
              <w:right w:val="single" w:color="FFFFFF" w:sz="6" w:space="0"/>
            </w:tcBorders>
            <w:vAlign w:val="center"/>
          </w:tcPr>
          <w:p>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3"/>
            </w:pPr>
            <w:r>
              <w:t>项  目</w:t>
            </w:r>
          </w:p>
        </w:tc>
        <w:tc>
          <w:tcPr>
            <w:tcW w:w="2126" w:type="dxa"/>
            <w:vAlign w:val="center"/>
          </w:tcPr>
          <w:p>
            <w:pPr>
              <w:pStyle w:val="13"/>
            </w:pPr>
            <w:r>
              <w:t>预算数</w:t>
            </w:r>
          </w:p>
        </w:tc>
        <w:tc>
          <w:tcPr>
            <w:tcW w:w="4535" w:type="dxa"/>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vAlign w:val="center"/>
          </w:tcPr>
          <w:p>
            <w:pPr>
              <w:pStyle w:val="13"/>
            </w:pPr>
            <w:r>
              <w:t>1</w:t>
            </w:r>
          </w:p>
        </w:tc>
        <w:tc>
          <w:tcPr>
            <w:tcW w:w="2126" w:type="dxa"/>
            <w:vAlign w:val="center"/>
          </w:tcPr>
          <w:p>
            <w:pPr>
              <w:pStyle w:val="13"/>
            </w:pPr>
            <w:r>
              <w:t>2</w:t>
            </w:r>
          </w:p>
        </w:tc>
        <w:tc>
          <w:tcPr>
            <w:tcW w:w="4535" w:type="dxa"/>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vAlign w:val="center"/>
          </w:tcPr>
          <w:p>
            <w:pPr>
              <w:pStyle w:val="15"/>
            </w:pPr>
            <w:r>
              <w:t>一、一般公共预算拨款收入</w:t>
            </w:r>
          </w:p>
        </w:tc>
        <w:tc>
          <w:tcPr>
            <w:tcW w:w="2126" w:type="dxa"/>
            <w:vAlign w:val="center"/>
          </w:tcPr>
          <w:p>
            <w:pPr>
              <w:pStyle w:val="14"/>
            </w:pPr>
            <w:r>
              <w:t>48.55</w:t>
            </w:r>
          </w:p>
        </w:tc>
        <w:tc>
          <w:tcPr>
            <w:tcW w:w="4535" w:type="dxa"/>
            <w:vAlign w:val="center"/>
          </w:tcPr>
          <w:p>
            <w:pPr>
              <w:pStyle w:val="15"/>
            </w:pPr>
            <w:r>
              <w:t>一、一般公共服务支出</w:t>
            </w:r>
          </w:p>
        </w:tc>
        <w:tc>
          <w:tcPr>
            <w:tcW w:w="2126" w:type="dxa"/>
            <w:vAlign w:val="center"/>
          </w:tcPr>
          <w:p>
            <w:pPr>
              <w:pStyle w:val="14"/>
            </w:pPr>
            <w:r>
              <w:t>37.49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vAlign w:val="center"/>
          </w:tcPr>
          <w:p>
            <w:pPr>
              <w:pStyle w:val="15"/>
            </w:pPr>
            <w:r>
              <w:t>二、政府性基金预算拨款收入</w:t>
            </w:r>
          </w:p>
        </w:tc>
        <w:tc>
          <w:tcPr>
            <w:tcW w:w="2126" w:type="dxa"/>
            <w:vAlign w:val="center"/>
          </w:tcPr>
          <w:p>
            <w:pPr>
              <w:pStyle w:val="14"/>
            </w:pPr>
          </w:p>
        </w:tc>
        <w:tc>
          <w:tcPr>
            <w:tcW w:w="4535" w:type="dxa"/>
            <w:vAlign w:val="center"/>
          </w:tcPr>
          <w:p>
            <w:pPr>
              <w:pStyle w:val="15"/>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vAlign w:val="center"/>
          </w:tcPr>
          <w:p>
            <w:pPr>
              <w:pStyle w:val="15"/>
            </w:pPr>
            <w:r>
              <w:t>三、国有资本经营预算拨款收入</w:t>
            </w:r>
          </w:p>
        </w:tc>
        <w:tc>
          <w:tcPr>
            <w:tcW w:w="2126" w:type="dxa"/>
            <w:vAlign w:val="center"/>
          </w:tcPr>
          <w:p>
            <w:pPr>
              <w:pStyle w:val="14"/>
            </w:pPr>
          </w:p>
        </w:tc>
        <w:tc>
          <w:tcPr>
            <w:tcW w:w="4535" w:type="dxa"/>
            <w:vAlign w:val="center"/>
          </w:tcPr>
          <w:p>
            <w:pPr>
              <w:pStyle w:val="15"/>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vAlign w:val="center"/>
          </w:tcPr>
          <w:p>
            <w:pPr>
              <w:pStyle w:val="15"/>
            </w:pPr>
            <w:r>
              <w:t>四、财政专户管理资金收入</w:t>
            </w:r>
          </w:p>
        </w:tc>
        <w:tc>
          <w:tcPr>
            <w:tcW w:w="2126" w:type="dxa"/>
            <w:vAlign w:val="center"/>
          </w:tcPr>
          <w:p>
            <w:pPr>
              <w:pStyle w:val="14"/>
            </w:pPr>
          </w:p>
        </w:tc>
        <w:tc>
          <w:tcPr>
            <w:tcW w:w="4535" w:type="dxa"/>
            <w:vAlign w:val="center"/>
          </w:tcPr>
          <w:p>
            <w:pPr>
              <w:pStyle w:val="15"/>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vAlign w:val="center"/>
          </w:tcPr>
          <w:p>
            <w:pPr>
              <w:pStyle w:val="15"/>
            </w:pPr>
            <w:r>
              <w:t>五、单位资金</w:t>
            </w:r>
          </w:p>
        </w:tc>
        <w:tc>
          <w:tcPr>
            <w:tcW w:w="2126" w:type="dxa"/>
            <w:vAlign w:val="center"/>
          </w:tcPr>
          <w:p>
            <w:pPr>
              <w:pStyle w:val="14"/>
            </w:pPr>
          </w:p>
        </w:tc>
        <w:tc>
          <w:tcPr>
            <w:tcW w:w="4535" w:type="dxa"/>
            <w:vAlign w:val="center"/>
          </w:tcPr>
          <w:p>
            <w:pPr>
              <w:pStyle w:val="15"/>
            </w:pPr>
            <w:r>
              <w:t>五、教育支出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七、文化旅游体育与传媒支出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八、社会保障和就业支出</w:t>
            </w:r>
          </w:p>
        </w:tc>
        <w:tc>
          <w:tcPr>
            <w:tcW w:w="2126" w:type="dxa"/>
            <w:vAlign w:val="center"/>
          </w:tcPr>
          <w:p>
            <w:pPr>
              <w:pStyle w:val="14"/>
            </w:pPr>
            <w:r>
              <w:t>5.48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十、卫生健康支出</w:t>
            </w:r>
          </w:p>
        </w:tc>
        <w:tc>
          <w:tcPr>
            <w:tcW w:w="2126" w:type="dxa"/>
            <w:vAlign w:val="center"/>
          </w:tcPr>
          <w:p>
            <w:pPr>
              <w:pStyle w:val="14"/>
            </w:pPr>
            <w:r>
              <w:t>2.84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十一、节能环保支出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十二、城乡社区支出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十三、农林水支出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十九、自然资源海洋气象等支出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二十、住房保障支出</w:t>
            </w:r>
          </w:p>
        </w:tc>
        <w:tc>
          <w:tcPr>
            <w:tcW w:w="2126" w:type="dxa"/>
            <w:vAlign w:val="center"/>
          </w:tcPr>
          <w:p>
            <w:pPr>
              <w:pStyle w:val="14"/>
            </w:pPr>
            <w:r>
              <w:t>2.74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二十三、灾害防治及应急管理支出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二十五、其他支出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vAlign w:val="center"/>
          </w:tcPr>
          <w:p>
            <w:pPr>
              <w:pStyle w:val="17"/>
            </w:pPr>
            <w:r>
              <w:t>本年收入合计</w:t>
            </w:r>
          </w:p>
        </w:tc>
        <w:tc>
          <w:tcPr>
            <w:tcW w:w="2126" w:type="dxa"/>
            <w:vAlign w:val="center"/>
          </w:tcPr>
          <w:p>
            <w:pPr>
              <w:pStyle w:val="18"/>
            </w:pPr>
            <w:r>
              <w:t>48.55</w:t>
            </w:r>
          </w:p>
        </w:tc>
        <w:tc>
          <w:tcPr>
            <w:tcW w:w="4535" w:type="dxa"/>
            <w:vAlign w:val="center"/>
          </w:tcPr>
          <w:p>
            <w:pPr>
              <w:pStyle w:val="17"/>
            </w:pPr>
            <w:r>
              <w:t>本年支出合计</w:t>
            </w:r>
          </w:p>
        </w:tc>
        <w:tc>
          <w:tcPr>
            <w:tcW w:w="2126" w:type="dxa"/>
            <w:vAlign w:val="center"/>
          </w:tcPr>
          <w:p>
            <w:pPr>
              <w:pStyle w:val="18"/>
            </w:pPr>
            <w:r>
              <w:t>48.55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vAlign w:val="center"/>
          </w:tcPr>
          <w:p>
            <w:pPr>
              <w:pStyle w:val="15"/>
            </w:pPr>
            <w:r>
              <w:t>上年结转结余</w:t>
            </w:r>
          </w:p>
        </w:tc>
        <w:tc>
          <w:tcPr>
            <w:tcW w:w="2126" w:type="dxa"/>
            <w:vAlign w:val="center"/>
          </w:tcPr>
          <w:p>
            <w:pPr>
              <w:pStyle w:val="14"/>
            </w:pPr>
          </w:p>
        </w:tc>
        <w:tc>
          <w:tcPr>
            <w:tcW w:w="4535" w:type="dxa"/>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vAlign w:val="center"/>
          </w:tcPr>
          <w:p>
            <w:pPr>
              <w:pStyle w:val="17"/>
            </w:pPr>
            <w:r>
              <w:t>收入总计</w:t>
            </w:r>
          </w:p>
        </w:tc>
        <w:tc>
          <w:tcPr>
            <w:tcW w:w="2126" w:type="dxa"/>
            <w:vAlign w:val="center"/>
          </w:tcPr>
          <w:p>
            <w:pPr>
              <w:pStyle w:val="18"/>
            </w:pPr>
            <w:r>
              <w:t>48.55</w:t>
            </w:r>
          </w:p>
        </w:tc>
        <w:tc>
          <w:tcPr>
            <w:tcW w:w="4535" w:type="dxa"/>
            <w:vAlign w:val="center"/>
          </w:tcPr>
          <w:p>
            <w:pPr>
              <w:pStyle w:val="17"/>
            </w:pPr>
            <w:r>
              <w:t>支出总计</w:t>
            </w:r>
          </w:p>
        </w:tc>
        <w:tc>
          <w:tcPr>
            <w:tcW w:w="2126" w:type="dxa"/>
            <w:vAlign w:val="center"/>
          </w:tcPr>
          <w:p>
            <w:pPr>
              <w:pStyle w:val="18"/>
            </w:pPr>
            <w:r>
              <w:t>48.55</w:t>
            </w:r>
          </w:p>
        </w:tc>
      </w:tr>
    </w:tbl>
    <w:p>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436昌黎县重点项目服务中心</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vAlign w:val="center"/>
          </w:tcPr>
          <w:p>
            <w:pPr>
              <w:pStyle w:val="13"/>
            </w:pPr>
            <w:r>
              <w:t>功能分类科目</w:t>
            </w:r>
          </w:p>
        </w:tc>
        <w:tc>
          <w:tcPr>
            <w:tcW w:w="1134" w:type="dxa"/>
            <w:vMerge w:val="restart"/>
            <w:vAlign w:val="center"/>
          </w:tcPr>
          <w:p>
            <w:pPr>
              <w:pStyle w:val="13"/>
            </w:pPr>
            <w:r>
              <w:t>合计</w:t>
            </w:r>
          </w:p>
        </w:tc>
        <w:tc>
          <w:tcPr>
            <w:tcW w:w="9072" w:type="dxa"/>
            <w:gridSpan w:val="8"/>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3"/>
            </w:pPr>
            <w:r>
              <w:t>科目    编码</w:t>
            </w:r>
          </w:p>
        </w:tc>
        <w:tc>
          <w:tcPr>
            <w:tcW w:w="1559" w:type="dxa"/>
            <w:vAlign w:val="center"/>
          </w:tcPr>
          <w:p>
            <w:pPr>
              <w:pStyle w:val="13"/>
            </w:pPr>
            <w:r>
              <w:t>科目名称</w:t>
            </w:r>
          </w:p>
        </w:tc>
        <w:tc>
          <w:tcPr>
            <w:tcW w:w="1134" w:type="dxa"/>
            <w:vMerge w:val="continue"/>
          </w:tcPr>
          <w:p/>
        </w:tc>
        <w:tc>
          <w:tcPr>
            <w:tcW w:w="1134" w:type="dxa"/>
            <w:vAlign w:val="center"/>
          </w:tcPr>
          <w:p>
            <w:pPr>
              <w:pStyle w:val="13"/>
            </w:pPr>
            <w:r>
              <w:t>小计</w:t>
            </w:r>
          </w:p>
        </w:tc>
        <w:tc>
          <w:tcPr>
            <w:tcW w:w="1134" w:type="dxa"/>
            <w:vAlign w:val="center"/>
          </w:tcPr>
          <w:p>
            <w:pPr>
              <w:pStyle w:val="13"/>
            </w:pPr>
            <w:r>
              <w:t>财政拨款 收入</w:t>
            </w:r>
          </w:p>
        </w:tc>
        <w:tc>
          <w:tcPr>
            <w:tcW w:w="1134" w:type="dxa"/>
            <w:vAlign w:val="center"/>
          </w:tcPr>
          <w:p>
            <w:pPr>
              <w:pStyle w:val="13"/>
            </w:pPr>
            <w:r>
              <w:t>财政专户 收入</w:t>
            </w:r>
          </w:p>
        </w:tc>
        <w:tc>
          <w:tcPr>
            <w:tcW w:w="1134" w:type="dxa"/>
            <w:vAlign w:val="center"/>
          </w:tcPr>
          <w:p>
            <w:pPr>
              <w:pStyle w:val="13"/>
            </w:pPr>
            <w:r>
              <w:t>事业收入</w:t>
            </w:r>
          </w:p>
        </w:tc>
        <w:tc>
          <w:tcPr>
            <w:tcW w:w="1134" w:type="dxa"/>
            <w:vAlign w:val="center"/>
          </w:tcPr>
          <w:p>
            <w:pPr>
              <w:pStyle w:val="13"/>
            </w:pPr>
            <w:r>
              <w:t>经营收入</w:t>
            </w:r>
          </w:p>
        </w:tc>
        <w:tc>
          <w:tcPr>
            <w:tcW w:w="1134" w:type="dxa"/>
            <w:vAlign w:val="center"/>
          </w:tcPr>
          <w:p>
            <w:pPr>
              <w:pStyle w:val="13"/>
            </w:pPr>
            <w:r>
              <w:t>上级补助收入</w:t>
            </w:r>
          </w:p>
        </w:tc>
        <w:tc>
          <w:tcPr>
            <w:tcW w:w="1134" w:type="dxa"/>
            <w:vAlign w:val="center"/>
          </w:tcPr>
          <w:p>
            <w:pPr>
              <w:pStyle w:val="13"/>
            </w:pPr>
            <w:r>
              <w:t>附属单位上缴收入</w:t>
            </w:r>
          </w:p>
        </w:tc>
        <w:tc>
          <w:tcPr>
            <w:tcW w:w="1134" w:type="dxa"/>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vAlign w:val="center"/>
          </w:tcPr>
          <w:p>
            <w:pPr>
              <w:pStyle w:val="13"/>
            </w:pPr>
            <w:r>
              <w:t>1</w:t>
            </w:r>
          </w:p>
        </w:tc>
        <w:tc>
          <w:tcPr>
            <w:tcW w:w="1559" w:type="dxa"/>
            <w:vAlign w:val="center"/>
          </w:tcPr>
          <w:p>
            <w:pPr>
              <w:pStyle w:val="13"/>
            </w:pPr>
            <w:r>
              <w:t>2</w:t>
            </w:r>
          </w:p>
        </w:tc>
        <w:tc>
          <w:tcPr>
            <w:tcW w:w="1134" w:type="dxa"/>
            <w:vAlign w:val="center"/>
          </w:tcPr>
          <w:p>
            <w:pPr>
              <w:pStyle w:val="13"/>
            </w:pPr>
            <w:r>
              <w:t>3</w:t>
            </w:r>
          </w:p>
        </w:tc>
        <w:tc>
          <w:tcPr>
            <w:tcW w:w="1134" w:type="dxa"/>
            <w:vAlign w:val="center"/>
          </w:tcPr>
          <w:p>
            <w:pPr>
              <w:pStyle w:val="13"/>
            </w:pPr>
            <w:r>
              <w:t>4</w:t>
            </w:r>
          </w:p>
        </w:tc>
        <w:tc>
          <w:tcPr>
            <w:tcW w:w="1134" w:type="dxa"/>
            <w:vAlign w:val="center"/>
          </w:tcPr>
          <w:p>
            <w:pPr>
              <w:pStyle w:val="13"/>
            </w:pPr>
            <w:r>
              <w:t>5</w:t>
            </w:r>
          </w:p>
        </w:tc>
        <w:tc>
          <w:tcPr>
            <w:tcW w:w="1134" w:type="dxa"/>
            <w:vAlign w:val="center"/>
          </w:tcPr>
          <w:p>
            <w:pPr>
              <w:pStyle w:val="13"/>
            </w:pPr>
            <w:r>
              <w:t>6</w:t>
            </w:r>
          </w:p>
        </w:tc>
        <w:tc>
          <w:tcPr>
            <w:tcW w:w="1134" w:type="dxa"/>
            <w:vAlign w:val="center"/>
          </w:tcPr>
          <w:p>
            <w:pPr>
              <w:pStyle w:val="13"/>
            </w:pPr>
            <w:r>
              <w:t>7</w:t>
            </w:r>
          </w:p>
        </w:tc>
        <w:tc>
          <w:tcPr>
            <w:tcW w:w="1134" w:type="dxa"/>
            <w:vAlign w:val="center"/>
          </w:tcPr>
          <w:p>
            <w:pPr>
              <w:pStyle w:val="13"/>
            </w:pPr>
            <w:r>
              <w:t>8</w:t>
            </w:r>
          </w:p>
        </w:tc>
        <w:tc>
          <w:tcPr>
            <w:tcW w:w="1134" w:type="dxa"/>
            <w:vAlign w:val="center"/>
          </w:tcPr>
          <w:p>
            <w:pPr>
              <w:pStyle w:val="13"/>
            </w:pPr>
            <w:r>
              <w:t>9</w:t>
            </w:r>
          </w:p>
        </w:tc>
        <w:tc>
          <w:tcPr>
            <w:tcW w:w="1134" w:type="dxa"/>
            <w:vAlign w:val="center"/>
          </w:tcPr>
          <w:p>
            <w:pPr>
              <w:pStyle w:val="13"/>
            </w:pPr>
            <w:r>
              <w:t>10</w:t>
            </w:r>
          </w:p>
        </w:tc>
        <w:tc>
          <w:tcPr>
            <w:tcW w:w="1134" w:type="dxa"/>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vAlign w:val="center"/>
          </w:tcPr>
          <w:p>
            <w:pPr>
              <w:pStyle w:val="19"/>
            </w:pPr>
          </w:p>
        </w:tc>
        <w:tc>
          <w:tcPr>
            <w:tcW w:w="1559" w:type="dxa"/>
            <w:vAlign w:val="center"/>
          </w:tcPr>
          <w:p>
            <w:pPr>
              <w:pStyle w:val="17"/>
            </w:pPr>
            <w:r>
              <w:t>合计</w:t>
            </w:r>
          </w:p>
        </w:tc>
        <w:tc>
          <w:tcPr>
            <w:tcW w:w="1134" w:type="dxa"/>
            <w:vAlign w:val="center"/>
          </w:tcPr>
          <w:p>
            <w:pPr>
              <w:pStyle w:val="18"/>
            </w:pPr>
            <w:r>
              <w:t>48.55</w:t>
            </w:r>
          </w:p>
        </w:tc>
        <w:tc>
          <w:tcPr>
            <w:tcW w:w="1134" w:type="dxa"/>
            <w:vAlign w:val="center"/>
          </w:tcPr>
          <w:p>
            <w:pPr>
              <w:pStyle w:val="18"/>
            </w:pPr>
            <w:r>
              <w:t>48.55</w:t>
            </w:r>
          </w:p>
        </w:tc>
        <w:tc>
          <w:tcPr>
            <w:tcW w:w="1134" w:type="dxa"/>
            <w:vAlign w:val="center"/>
          </w:tcPr>
          <w:p>
            <w:pPr>
              <w:pStyle w:val="18"/>
            </w:pPr>
            <w:r>
              <w:t>48.55</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vAlign w:val="center"/>
          </w:tcPr>
          <w:p>
            <w:pPr>
              <w:pStyle w:val="15"/>
            </w:pPr>
            <w:r>
              <w:t>201</w:t>
            </w:r>
          </w:p>
        </w:tc>
        <w:tc>
          <w:tcPr>
            <w:tcW w:w="1559" w:type="dxa"/>
            <w:vAlign w:val="center"/>
          </w:tcPr>
          <w:p>
            <w:pPr>
              <w:pStyle w:val="15"/>
            </w:pPr>
            <w:r>
              <w:t>一般公共服务支出</w:t>
            </w:r>
          </w:p>
        </w:tc>
        <w:tc>
          <w:tcPr>
            <w:tcW w:w="1134" w:type="dxa"/>
            <w:vAlign w:val="center"/>
          </w:tcPr>
          <w:p>
            <w:pPr>
              <w:pStyle w:val="14"/>
            </w:pPr>
            <w:r>
              <w:t>37.49</w:t>
            </w:r>
          </w:p>
        </w:tc>
        <w:tc>
          <w:tcPr>
            <w:tcW w:w="1134" w:type="dxa"/>
            <w:vAlign w:val="center"/>
          </w:tcPr>
          <w:p>
            <w:pPr>
              <w:pStyle w:val="14"/>
            </w:pPr>
            <w:r>
              <w:t>37.49</w:t>
            </w:r>
          </w:p>
        </w:tc>
        <w:tc>
          <w:tcPr>
            <w:tcW w:w="1134" w:type="dxa"/>
            <w:vAlign w:val="center"/>
          </w:tcPr>
          <w:p>
            <w:pPr>
              <w:pStyle w:val="14"/>
            </w:pPr>
            <w:r>
              <w:t>37.49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vAlign w:val="center"/>
          </w:tcPr>
          <w:p>
            <w:pPr>
              <w:pStyle w:val="15"/>
            </w:pPr>
            <w:r>
              <w:t>20104</w:t>
            </w:r>
          </w:p>
        </w:tc>
        <w:tc>
          <w:tcPr>
            <w:tcW w:w="1559" w:type="dxa"/>
            <w:vAlign w:val="center"/>
          </w:tcPr>
          <w:p>
            <w:pPr>
              <w:pStyle w:val="15"/>
            </w:pPr>
            <w:r>
              <w:t>发展与改革事务</w:t>
            </w:r>
          </w:p>
        </w:tc>
        <w:tc>
          <w:tcPr>
            <w:tcW w:w="1134" w:type="dxa"/>
            <w:vAlign w:val="center"/>
          </w:tcPr>
          <w:p>
            <w:pPr>
              <w:pStyle w:val="14"/>
            </w:pPr>
            <w:r>
              <w:t>37.49</w:t>
            </w:r>
          </w:p>
        </w:tc>
        <w:tc>
          <w:tcPr>
            <w:tcW w:w="1134" w:type="dxa"/>
            <w:vAlign w:val="center"/>
          </w:tcPr>
          <w:p>
            <w:pPr>
              <w:pStyle w:val="14"/>
            </w:pPr>
            <w:r>
              <w:t>37.49</w:t>
            </w:r>
          </w:p>
        </w:tc>
        <w:tc>
          <w:tcPr>
            <w:tcW w:w="1134" w:type="dxa"/>
            <w:vAlign w:val="center"/>
          </w:tcPr>
          <w:p>
            <w:pPr>
              <w:pStyle w:val="14"/>
            </w:pPr>
            <w:r>
              <w:t>37.49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vAlign w:val="center"/>
          </w:tcPr>
          <w:p>
            <w:pPr>
              <w:pStyle w:val="15"/>
            </w:pPr>
            <w:r>
              <w:t>2010450</w:t>
            </w:r>
          </w:p>
        </w:tc>
        <w:tc>
          <w:tcPr>
            <w:tcW w:w="1559" w:type="dxa"/>
            <w:vAlign w:val="center"/>
          </w:tcPr>
          <w:p>
            <w:pPr>
              <w:pStyle w:val="15"/>
            </w:pPr>
            <w:r>
              <w:t>事业运行</w:t>
            </w:r>
          </w:p>
        </w:tc>
        <w:tc>
          <w:tcPr>
            <w:tcW w:w="1134" w:type="dxa"/>
            <w:vAlign w:val="center"/>
          </w:tcPr>
          <w:p>
            <w:pPr>
              <w:pStyle w:val="14"/>
            </w:pPr>
            <w:r>
              <w:t>37.49</w:t>
            </w:r>
          </w:p>
        </w:tc>
        <w:tc>
          <w:tcPr>
            <w:tcW w:w="1134" w:type="dxa"/>
            <w:vAlign w:val="center"/>
          </w:tcPr>
          <w:p>
            <w:pPr>
              <w:pStyle w:val="14"/>
            </w:pPr>
            <w:r>
              <w:t>37.49</w:t>
            </w:r>
          </w:p>
        </w:tc>
        <w:tc>
          <w:tcPr>
            <w:tcW w:w="1134" w:type="dxa"/>
            <w:vAlign w:val="center"/>
          </w:tcPr>
          <w:p>
            <w:pPr>
              <w:pStyle w:val="14"/>
            </w:pPr>
            <w:r>
              <w:t>37.49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vAlign w:val="center"/>
          </w:tcPr>
          <w:p>
            <w:pPr>
              <w:pStyle w:val="15"/>
            </w:pPr>
            <w:r>
              <w:t>208</w:t>
            </w:r>
          </w:p>
        </w:tc>
        <w:tc>
          <w:tcPr>
            <w:tcW w:w="1559" w:type="dxa"/>
            <w:vAlign w:val="center"/>
          </w:tcPr>
          <w:p>
            <w:pPr>
              <w:pStyle w:val="15"/>
            </w:pPr>
            <w:r>
              <w:t>社会保障和就业支出</w:t>
            </w:r>
          </w:p>
        </w:tc>
        <w:tc>
          <w:tcPr>
            <w:tcW w:w="1134" w:type="dxa"/>
            <w:vAlign w:val="center"/>
          </w:tcPr>
          <w:p>
            <w:pPr>
              <w:pStyle w:val="14"/>
            </w:pPr>
            <w:r>
              <w:t>5.48</w:t>
            </w:r>
          </w:p>
        </w:tc>
        <w:tc>
          <w:tcPr>
            <w:tcW w:w="1134" w:type="dxa"/>
            <w:vAlign w:val="center"/>
          </w:tcPr>
          <w:p>
            <w:pPr>
              <w:pStyle w:val="14"/>
            </w:pPr>
            <w:r>
              <w:t>5.48</w:t>
            </w:r>
          </w:p>
        </w:tc>
        <w:tc>
          <w:tcPr>
            <w:tcW w:w="1134" w:type="dxa"/>
            <w:vAlign w:val="center"/>
          </w:tcPr>
          <w:p>
            <w:pPr>
              <w:pStyle w:val="14"/>
            </w:pPr>
            <w:r>
              <w:t>5.48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vAlign w:val="center"/>
          </w:tcPr>
          <w:p>
            <w:pPr>
              <w:pStyle w:val="15"/>
            </w:pPr>
            <w:r>
              <w:t>20805</w:t>
            </w:r>
          </w:p>
        </w:tc>
        <w:tc>
          <w:tcPr>
            <w:tcW w:w="1559" w:type="dxa"/>
            <w:vAlign w:val="center"/>
          </w:tcPr>
          <w:p>
            <w:pPr>
              <w:pStyle w:val="15"/>
            </w:pPr>
            <w:r>
              <w:t>行政事业单位养老支出</w:t>
            </w:r>
          </w:p>
        </w:tc>
        <w:tc>
          <w:tcPr>
            <w:tcW w:w="1134" w:type="dxa"/>
            <w:vAlign w:val="center"/>
          </w:tcPr>
          <w:p>
            <w:pPr>
              <w:pStyle w:val="14"/>
            </w:pPr>
            <w:r>
              <w:t>5.48</w:t>
            </w:r>
          </w:p>
        </w:tc>
        <w:tc>
          <w:tcPr>
            <w:tcW w:w="1134" w:type="dxa"/>
            <w:vAlign w:val="center"/>
          </w:tcPr>
          <w:p>
            <w:pPr>
              <w:pStyle w:val="14"/>
            </w:pPr>
            <w:r>
              <w:t>5.48</w:t>
            </w:r>
          </w:p>
        </w:tc>
        <w:tc>
          <w:tcPr>
            <w:tcW w:w="1134" w:type="dxa"/>
            <w:vAlign w:val="center"/>
          </w:tcPr>
          <w:p>
            <w:pPr>
              <w:pStyle w:val="14"/>
            </w:pPr>
            <w:r>
              <w:t>5.48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7</w:t>
            </w:r>
          </w:p>
        </w:tc>
        <w:tc>
          <w:tcPr>
            <w:tcW w:w="992" w:type="dxa"/>
            <w:vAlign w:val="center"/>
          </w:tcPr>
          <w:p>
            <w:pPr>
              <w:pStyle w:val="15"/>
            </w:pPr>
            <w:r>
              <w:t>2080505</w:t>
            </w:r>
          </w:p>
        </w:tc>
        <w:tc>
          <w:tcPr>
            <w:tcW w:w="1559" w:type="dxa"/>
            <w:vAlign w:val="center"/>
          </w:tcPr>
          <w:p>
            <w:pPr>
              <w:pStyle w:val="15"/>
            </w:pPr>
            <w:r>
              <w:t>机关事业单位基本养老保险缴费支出</w:t>
            </w:r>
          </w:p>
        </w:tc>
        <w:tc>
          <w:tcPr>
            <w:tcW w:w="1134" w:type="dxa"/>
            <w:vAlign w:val="center"/>
          </w:tcPr>
          <w:p>
            <w:pPr>
              <w:pStyle w:val="14"/>
            </w:pPr>
            <w:r>
              <w:t>5.48</w:t>
            </w:r>
          </w:p>
        </w:tc>
        <w:tc>
          <w:tcPr>
            <w:tcW w:w="1134" w:type="dxa"/>
            <w:vAlign w:val="center"/>
          </w:tcPr>
          <w:p>
            <w:pPr>
              <w:pStyle w:val="14"/>
            </w:pPr>
            <w:r>
              <w:t>5.48</w:t>
            </w:r>
          </w:p>
        </w:tc>
        <w:tc>
          <w:tcPr>
            <w:tcW w:w="1134" w:type="dxa"/>
            <w:vAlign w:val="center"/>
          </w:tcPr>
          <w:p>
            <w:pPr>
              <w:pStyle w:val="14"/>
            </w:pPr>
            <w:r>
              <w:t>5.48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8</w:t>
            </w:r>
          </w:p>
        </w:tc>
        <w:tc>
          <w:tcPr>
            <w:tcW w:w="992" w:type="dxa"/>
            <w:vAlign w:val="center"/>
          </w:tcPr>
          <w:p>
            <w:pPr>
              <w:pStyle w:val="15"/>
            </w:pPr>
            <w:r>
              <w:t>210</w:t>
            </w:r>
          </w:p>
        </w:tc>
        <w:tc>
          <w:tcPr>
            <w:tcW w:w="1559" w:type="dxa"/>
            <w:vAlign w:val="center"/>
          </w:tcPr>
          <w:p>
            <w:pPr>
              <w:pStyle w:val="15"/>
            </w:pPr>
            <w:r>
              <w:t>卫生健康支出</w:t>
            </w:r>
          </w:p>
        </w:tc>
        <w:tc>
          <w:tcPr>
            <w:tcW w:w="1134" w:type="dxa"/>
            <w:vAlign w:val="center"/>
          </w:tcPr>
          <w:p>
            <w:pPr>
              <w:pStyle w:val="14"/>
            </w:pPr>
            <w:r>
              <w:t>2.84</w:t>
            </w:r>
          </w:p>
        </w:tc>
        <w:tc>
          <w:tcPr>
            <w:tcW w:w="1134" w:type="dxa"/>
            <w:vAlign w:val="center"/>
          </w:tcPr>
          <w:p>
            <w:pPr>
              <w:pStyle w:val="14"/>
            </w:pPr>
            <w:r>
              <w:t>2.84</w:t>
            </w:r>
          </w:p>
        </w:tc>
        <w:tc>
          <w:tcPr>
            <w:tcW w:w="1134" w:type="dxa"/>
            <w:vAlign w:val="center"/>
          </w:tcPr>
          <w:p>
            <w:pPr>
              <w:pStyle w:val="14"/>
            </w:pPr>
            <w:r>
              <w:t>2.84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9</w:t>
            </w:r>
          </w:p>
        </w:tc>
        <w:tc>
          <w:tcPr>
            <w:tcW w:w="992" w:type="dxa"/>
            <w:vAlign w:val="center"/>
          </w:tcPr>
          <w:p>
            <w:pPr>
              <w:pStyle w:val="15"/>
            </w:pPr>
            <w:r>
              <w:t>21011</w:t>
            </w:r>
          </w:p>
        </w:tc>
        <w:tc>
          <w:tcPr>
            <w:tcW w:w="1559" w:type="dxa"/>
            <w:vAlign w:val="center"/>
          </w:tcPr>
          <w:p>
            <w:pPr>
              <w:pStyle w:val="15"/>
            </w:pPr>
            <w:r>
              <w:t>行政事业单位医疗</w:t>
            </w:r>
          </w:p>
        </w:tc>
        <w:tc>
          <w:tcPr>
            <w:tcW w:w="1134" w:type="dxa"/>
            <w:vAlign w:val="center"/>
          </w:tcPr>
          <w:p>
            <w:pPr>
              <w:pStyle w:val="14"/>
            </w:pPr>
            <w:r>
              <w:t>2.84</w:t>
            </w:r>
          </w:p>
        </w:tc>
        <w:tc>
          <w:tcPr>
            <w:tcW w:w="1134" w:type="dxa"/>
            <w:vAlign w:val="center"/>
          </w:tcPr>
          <w:p>
            <w:pPr>
              <w:pStyle w:val="14"/>
            </w:pPr>
            <w:r>
              <w:t>2.84</w:t>
            </w:r>
          </w:p>
        </w:tc>
        <w:tc>
          <w:tcPr>
            <w:tcW w:w="1134" w:type="dxa"/>
            <w:vAlign w:val="center"/>
          </w:tcPr>
          <w:p>
            <w:pPr>
              <w:pStyle w:val="14"/>
            </w:pPr>
            <w:r>
              <w:t>2.84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10</w:t>
            </w:r>
          </w:p>
        </w:tc>
        <w:tc>
          <w:tcPr>
            <w:tcW w:w="992" w:type="dxa"/>
            <w:vAlign w:val="center"/>
          </w:tcPr>
          <w:p>
            <w:pPr>
              <w:pStyle w:val="15"/>
            </w:pPr>
            <w:r>
              <w:t>2101102</w:t>
            </w:r>
          </w:p>
        </w:tc>
        <w:tc>
          <w:tcPr>
            <w:tcW w:w="1559" w:type="dxa"/>
            <w:vAlign w:val="center"/>
          </w:tcPr>
          <w:p>
            <w:pPr>
              <w:pStyle w:val="15"/>
            </w:pPr>
            <w:r>
              <w:t>事业单位医疗</w:t>
            </w:r>
          </w:p>
        </w:tc>
        <w:tc>
          <w:tcPr>
            <w:tcW w:w="1134" w:type="dxa"/>
            <w:vAlign w:val="center"/>
          </w:tcPr>
          <w:p>
            <w:pPr>
              <w:pStyle w:val="14"/>
            </w:pPr>
            <w:r>
              <w:t>2.84</w:t>
            </w:r>
          </w:p>
        </w:tc>
        <w:tc>
          <w:tcPr>
            <w:tcW w:w="1134" w:type="dxa"/>
            <w:vAlign w:val="center"/>
          </w:tcPr>
          <w:p>
            <w:pPr>
              <w:pStyle w:val="14"/>
            </w:pPr>
            <w:r>
              <w:t>2.84</w:t>
            </w:r>
          </w:p>
        </w:tc>
        <w:tc>
          <w:tcPr>
            <w:tcW w:w="1134" w:type="dxa"/>
            <w:vAlign w:val="center"/>
          </w:tcPr>
          <w:p>
            <w:pPr>
              <w:pStyle w:val="14"/>
            </w:pPr>
            <w:r>
              <w:t>2.84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11</w:t>
            </w:r>
          </w:p>
        </w:tc>
        <w:tc>
          <w:tcPr>
            <w:tcW w:w="992" w:type="dxa"/>
            <w:vAlign w:val="center"/>
          </w:tcPr>
          <w:p>
            <w:pPr>
              <w:pStyle w:val="15"/>
            </w:pPr>
            <w:r>
              <w:t>221</w:t>
            </w:r>
          </w:p>
        </w:tc>
        <w:tc>
          <w:tcPr>
            <w:tcW w:w="1559" w:type="dxa"/>
            <w:vAlign w:val="center"/>
          </w:tcPr>
          <w:p>
            <w:pPr>
              <w:pStyle w:val="15"/>
            </w:pPr>
            <w:r>
              <w:t>住房保障支出</w:t>
            </w:r>
          </w:p>
        </w:tc>
        <w:tc>
          <w:tcPr>
            <w:tcW w:w="1134" w:type="dxa"/>
            <w:vAlign w:val="center"/>
          </w:tcPr>
          <w:p>
            <w:pPr>
              <w:pStyle w:val="14"/>
            </w:pPr>
            <w:r>
              <w:t>2.74</w:t>
            </w:r>
          </w:p>
        </w:tc>
        <w:tc>
          <w:tcPr>
            <w:tcW w:w="1134" w:type="dxa"/>
            <w:vAlign w:val="center"/>
          </w:tcPr>
          <w:p>
            <w:pPr>
              <w:pStyle w:val="14"/>
            </w:pPr>
            <w:r>
              <w:t>2.74</w:t>
            </w:r>
          </w:p>
        </w:tc>
        <w:tc>
          <w:tcPr>
            <w:tcW w:w="1134" w:type="dxa"/>
            <w:vAlign w:val="center"/>
          </w:tcPr>
          <w:p>
            <w:pPr>
              <w:pStyle w:val="14"/>
            </w:pPr>
            <w:r>
              <w:t>2.74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12</w:t>
            </w:r>
          </w:p>
        </w:tc>
        <w:tc>
          <w:tcPr>
            <w:tcW w:w="992" w:type="dxa"/>
            <w:vAlign w:val="center"/>
          </w:tcPr>
          <w:p>
            <w:pPr>
              <w:pStyle w:val="15"/>
            </w:pPr>
            <w:r>
              <w:t>22102</w:t>
            </w:r>
          </w:p>
        </w:tc>
        <w:tc>
          <w:tcPr>
            <w:tcW w:w="1559" w:type="dxa"/>
            <w:vAlign w:val="center"/>
          </w:tcPr>
          <w:p>
            <w:pPr>
              <w:pStyle w:val="15"/>
            </w:pPr>
            <w:r>
              <w:t>住房改革支出</w:t>
            </w:r>
          </w:p>
        </w:tc>
        <w:tc>
          <w:tcPr>
            <w:tcW w:w="1134" w:type="dxa"/>
            <w:vAlign w:val="center"/>
          </w:tcPr>
          <w:p>
            <w:pPr>
              <w:pStyle w:val="14"/>
            </w:pPr>
            <w:r>
              <w:t>2.74</w:t>
            </w:r>
          </w:p>
        </w:tc>
        <w:tc>
          <w:tcPr>
            <w:tcW w:w="1134" w:type="dxa"/>
            <w:vAlign w:val="center"/>
          </w:tcPr>
          <w:p>
            <w:pPr>
              <w:pStyle w:val="14"/>
            </w:pPr>
            <w:r>
              <w:t>2.74</w:t>
            </w:r>
          </w:p>
        </w:tc>
        <w:tc>
          <w:tcPr>
            <w:tcW w:w="1134" w:type="dxa"/>
            <w:vAlign w:val="center"/>
          </w:tcPr>
          <w:p>
            <w:pPr>
              <w:pStyle w:val="14"/>
            </w:pPr>
            <w:r>
              <w:t>2.74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13</w:t>
            </w:r>
          </w:p>
        </w:tc>
        <w:tc>
          <w:tcPr>
            <w:tcW w:w="992" w:type="dxa"/>
            <w:vAlign w:val="center"/>
          </w:tcPr>
          <w:p>
            <w:pPr>
              <w:pStyle w:val="15"/>
            </w:pPr>
            <w:r>
              <w:t>2210201</w:t>
            </w:r>
          </w:p>
        </w:tc>
        <w:tc>
          <w:tcPr>
            <w:tcW w:w="1559" w:type="dxa"/>
            <w:vAlign w:val="center"/>
          </w:tcPr>
          <w:p>
            <w:pPr>
              <w:pStyle w:val="15"/>
            </w:pPr>
            <w:r>
              <w:t>住房公积金</w:t>
            </w:r>
          </w:p>
        </w:tc>
        <w:tc>
          <w:tcPr>
            <w:tcW w:w="1134" w:type="dxa"/>
            <w:vAlign w:val="center"/>
          </w:tcPr>
          <w:p>
            <w:pPr>
              <w:pStyle w:val="14"/>
            </w:pPr>
            <w:r>
              <w:t>2.74</w:t>
            </w:r>
          </w:p>
        </w:tc>
        <w:tc>
          <w:tcPr>
            <w:tcW w:w="1134" w:type="dxa"/>
            <w:vAlign w:val="center"/>
          </w:tcPr>
          <w:p>
            <w:pPr>
              <w:pStyle w:val="14"/>
            </w:pPr>
            <w:r>
              <w:t>2.74</w:t>
            </w:r>
          </w:p>
        </w:tc>
        <w:tc>
          <w:tcPr>
            <w:tcW w:w="1134" w:type="dxa"/>
            <w:vAlign w:val="center"/>
          </w:tcPr>
          <w:p>
            <w:pPr>
              <w:pStyle w:val="14"/>
            </w:pPr>
            <w:r>
              <w:t>2.74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2"/>
            </w:pPr>
            <w:r>
              <w:t>436昌黎县重点项目服务中心</w:t>
            </w:r>
          </w:p>
        </w:tc>
        <w:tc>
          <w:tcPr>
            <w:tcW w:w="2722" w:type="dxa"/>
            <w:gridSpan w:val="2"/>
            <w:tcBorders>
              <w:top w:val="single" w:color="FFFFFF" w:sz="6" w:space="0"/>
              <w:left w:val="single" w:color="FFFFFF" w:sz="6" w:space="0"/>
              <w:right w:val="single" w:color="FFFFFF" w:sz="6" w:space="0"/>
            </w:tcBorders>
            <w:vAlign w:val="center"/>
          </w:tcPr>
          <w:p>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7" w:type="dxa"/>
            <w:gridSpan w:val="2"/>
            <w:vAlign w:val="center"/>
          </w:tcPr>
          <w:p>
            <w:pPr>
              <w:pStyle w:val="13"/>
            </w:pPr>
            <w:r>
              <w:t>功能分类科目</w:t>
            </w:r>
          </w:p>
        </w:tc>
        <w:tc>
          <w:tcPr>
            <w:tcW w:w="1361" w:type="dxa"/>
            <w:vMerge w:val="restart"/>
            <w:vAlign w:val="center"/>
          </w:tcPr>
          <w:p>
            <w:pPr>
              <w:pStyle w:val="13"/>
            </w:pPr>
            <w:r>
              <w:t>合计</w:t>
            </w:r>
          </w:p>
        </w:tc>
        <w:tc>
          <w:tcPr>
            <w:tcW w:w="1361" w:type="dxa"/>
            <w:vMerge w:val="restart"/>
            <w:vAlign w:val="center"/>
          </w:tcPr>
          <w:p>
            <w:pPr>
              <w:pStyle w:val="13"/>
            </w:pPr>
            <w:r>
              <w:t>基本支出</w:t>
            </w:r>
          </w:p>
        </w:tc>
        <w:tc>
          <w:tcPr>
            <w:tcW w:w="1361" w:type="dxa"/>
            <w:vMerge w:val="restart"/>
            <w:vAlign w:val="center"/>
          </w:tcPr>
          <w:p>
            <w:pPr>
              <w:pStyle w:val="13"/>
            </w:pPr>
            <w:r>
              <w:t>项目支出</w:t>
            </w:r>
          </w:p>
        </w:tc>
        <w:tc>
          <w:tcPr>
            <w:tcW w:w="1361" w:type="dxa"/>
            <w:vMerge w:val="restart"/>
            <w:vAlign w:val="center"/>
          </w:tcPr>
          <w:p>
            <w:pPr>
              <w:pStyle w:val="13"/>
            </w:pPr>
            <w:r>
              <w:t>经营支出</w:t>
            </w:r>
          </w:p>
        </w:tc>
        <w:tc>
          <w:tcPr>
            <w:tcW w:w="1361" w:type="dxa"/>
            <w:vMerge w:val="restart"/>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3"/>
            </w:pPr>
            <w:r>
              <w:t>科目    编码</w:t>
            </w:r>
          </w:p>
        </w:tc>
        <w:tc>
          <w:tcPr>
            <w:tcW w:w="4535" w:type="dxa"/>
            <w:vAlign w:val="center"/>
          </w:tcPr>
          <w:p>
            <w:pPr>
              <w:pStyle w:val="13"/>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vAlign w:val="center"/>
          </w:tcPr>
          <w:p>
            <w:pPr>
              <w:pStyle w:val="13"/>
            </w:pPr>
            <w:r>
              <w:t>1</w:t>
            </w:r>
          </w:p>
        </w:tc>
        <w:tc>
          <w:tcPr>
            <w:tcW w:w="4535" w:type="dxa"/>
            <w:vAlign w:val="center"/>
          </w:tcPr>
          <w:p>
            <w:pPr>
              <w:pStyle w:val="13"/>
            </w:pPr>
            <w:r>
              <w:t>2</w:t>
            </w:r>
          </w:p>
        </w:tc>
        <w:tc>
          <w:tcPr>
            <w:tcW w:w="1361" w:type="dxa"/>
            <w:vAlign w:val="center"/>
          </w:tcPr>
          <w:p>
            <w:pPr>
              <w:pStyle w:val="13"/>
            </w:pPr>
            <w:r>
              <w:t>3</w:t>
            </w:r>
          </w:p>
        </w:tc>
        <w:tc>
          <w:tcPr>
            <w:tcW w:w="1361" w:type="dxa"/>
            <w:vAlign w:val="center"/>
          </w:tcPr>
          <w:p>
            <w:pPr>
              <w:pStyle w:val="13"/>
            </w:pPr>
            <w:r>
              <w:t>4</w:t>
            </w:r>
          </w:p>
        </w:tc>
        <w:tc>
          <w:tcPr>
            <w:tcW w:w="1361" w:type="dxa"/>
            <w:vAlign w:val="center"/>
          </w:tcPr>
          <w:p>
            <w:pPr>
              <w:pStyle w:val="13"/>
            </w:pPr>
            <w:r>
              <w:t>5</w:t>
            </w:r>
          </w:p>
        </w:tc>
        <w:tc>
          <w:tcPr>
            <w:tcW w:w="1361" w:type="dxa"/>
            <w:vAlign w:val="center"/>
          </w:tcPr>
          <w:p>
            <w:pPr>
              <w:pStyle w:val="13"/>
            </w:pPr>
            <w:r>
              <w:t>6</w:t>
            </w:r>
          </w:p>
        </w:tc>
        <w:tc>
          <w:tcPr>
            <w:tcW w:w="1361" w:type="dxa"/>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vAlign w:val="center"/>
          </w:tcPr>
          <w:p>
            <w:pPr>
              <w:pStyle w:val="19"/>
            </w:pPr>
          </w:p>
        </w:tc>
        <w:tc>
          <w:tcPr>
            <w:tcW w:w="4535" w:type="dxa"/>
            <w:vAlign w:val="center"/>
          </w:tcPr>
          <w:p>
            <w:pPr>
              <w:pStyle w:val="17"/>
            </w:pPr>
            <w:r>
              <w:t>合计</w:t>
            </w:r>
          </w:p>
        </w:tc>
        <w:tc>
          <w:tcPr>
            <w:tcW w:w="1361" w:type="dxa"/>
            <w:vAlign w:val="center"/>
          </w:tcPr>
          <w:p>
            <w:pPr>
              <w:pStyle w:val="18"/>
            </w:pPr>
            <w:r>
              <w:t>48.55</w:t>
            </w:r>
          </w:p>
        </w:tc>
        <w:tc>
          <w:tcPr>
            <w:tcW w:w="1361" w:type="dxa"/>
            <w:vAlign w:val="center"/>
          </w:tcPr>
          <w:p>
            <w:pPr>
              <w:pStyle w:val="18"/>
            </w:pPr>
            <w:r>
              <w:t>48.55</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vAlign w:val="center"/>
          </w:tcPr>
          <w:p>
            <w:pPr>
              <w:pStyle w:val="15"/>
            </w:pPr>
            <w:r>
              <w:t>201</w:t>
            </w:r>
          </w:p>
        </w:tc>
        <w:tc>
          <w:tcPr>
            <w:tcW w:w="4535" w:type="dxa"/>
            <w:vAlign w:val="center"/>
          </w:tcPr>
          <w:p>
            <w:pPr>
              <w:pStyle w:val="15"/>
            </w:pPr>
            <w:r>
              <w:t>一般公共服务支出</w:t>
            </w:r>
          </w:p>
        </w:tc>
        <w:tc>
          <w:tcPr>
            <w:tcW w:w="1361" w:type="dxa"/>
            <w:vAlign w:val="center"/>
          </w:tcPr>
          <w:p>
            <w:pPr>
              <w:pStyle w:val="14"/>
            </w:pPr>
            <w:r>
              <w:t>37.49</w:t>
            </w:r>
          </w:p>
        </w:tc>
        <w:tc>
          <w:tcPr>
            <w:tcW w:w="1361" w:type="dxa"/>
            <w:vAlign w:val="center"/>
          </w:tcPr>
          <w:p>
            <w:pPr>
              <w:pStyle w:val="14"/>
            </w:pPr>
            <w:r>
              <w:t>37.49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vAlign w:val="center"/>
          </w:tcPr>
          <w:p>
            <w:pPr>
              <w:pStyle w:val="15"/>
            </w:pPr>
            <w:r>
              <w:t>20104</w:t>
            </w:r>
          </w:p>
        </w:tc>
        <w:tc>
          <w:tcPr>
            <w:tcW w:w="4535" w:type="dxa"/>
            <w:vAlign w:val="center"/>
          </w:tcPr>
          <w:p>
            <w:pPr>
              <w:pStyle w:val="15"/>
            </w:pPr>
            <w:r>
              <w:t>发展与改革事务</w:t>
            </w:r>
          </w:p>
        </w:tc>
        <w:tc>
          <w:tcPr>
            <w:tcW w:w="1361" w:type="dxa"/>
            <w:vAlign w:val="center"/>
          </w:tcPr>
          <w:p>
            <w:pPr>
              <w:pStyle w:val="14"/>
            </w:pPr>
            <w:r>
              <w:t>37.49</w:t>
            </w:r>
          </w:p>
        </w:tc>
        <w:tc>
          <w:tcPr>
            <w:tcW w:w="1361" w:type="dxa"/>
            <w:vAlign w:val="center"/>
          </w:tcPr>
          <w:p>
            <w:pPr>
              <w:pStyle w:val="14"/>
            </w:pPr>
            <w:r>
              <w:t>37.49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vAlign w:val="center"/>
          </w:tcPr>
          <w:p>
            <w:pPr>
              <w:pStyle w:val="15"/>
            </w:pPr>
            <w:r>
              <w:t>2010450</w:t>
            </w:r>
          </w:p>
        </w:tc>
        <w:tc>
          <w:tcPr>
            <w:tcW w:w="4535" w:type="dxa"/>
            <w:vAlign w:val="center"/>
          </w:tcPr>
          <w:p>
            <w:pPr>
              <w:pStyle w:val="15"/>
            </w:pPr>
            <w:r>
              <w:t>事业运行</w:t>
            </w:r>
          </w:p>
        </w:tc>
        <w:tc>
          <w:tcPr>
            <w:tcW w:w="1361" w:type="dxa"/>
            <w:vAlign w:val="center"/>
          </w:tcPr>
          <w:p>
            <w:pPr>
              <w:pStyle w:val="14"/>
            </w:pPr>
            <w:r>
              <w:t>37.49</w:t>
            </w:r>
          </w:p>
        </w:tc>
        <w:tc>
          <w:tcPr>
            <w:tcW w:w="1361" w:type="dxa"/>
            <w:vAlign w:val="center"/>
          </w:tcPr>
          <w:p>
            <w:pPr>
              <w:pStyle w:val="14"/>
            </w:pPr>
            <w:r>
              <w:t>37.49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vAlign w:val="center"/>
          </w:tcPr>
          <w:p>
            <w:pPr>
              <w:pStyle w:val="15"/>
            </w:pPr>
            <w:r>
              <w:t>208</w:t>
            </w:r>
          </w:p>
        </w:tc>
        <w:tc>
          <w:tcPr>
            <w:tcW w:w="4535" w:type="dxa"/>
            <w:vAlign w:val="center"/>
          </w:tcPr>
          <w:p>
            <w:pPr>
              <w:pStyle w:val="15"/>
            </w:pPr>
            <w:r>
              <w:t>社会保障和就业支出</w:t>
            </w:r>
          </w:p>
        </w:tc>
        <w:tc>
          <w:tcPr>
            <w:tcW w:w="1361" w:type="dxa"/>
            <w:vAlign w:val="center"/>
          </w:tcPr>
          <w:p>
            <w:pPr>
              <w:pStyle w:val="14"/>
            </w:pPr>
            <w:r>
              <w:t>5.48</w:t>
            </w:r>
          </w:p>
        </w:tc>
        <w:tc>
          <w:tcPr>
            <w:tcW w:w="1361" w:type="dxa"/>
            <w:vAlign w:val="center"/>
          </w:tcPr>
          <w:p>
            <w:pPr>
              <w:pStyle w:val="14"/>
            </w:pPr>
            <w:r>
              <w:t>5.48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vAlign w:val="center"/>
          </w:tcPr>
          <w:p>
            <w:pPr>
              <w:pStyle w:val="15"/>
            </w:pPr>
            <w:r>
              <w:t>20805</w:t>
            </w:r>
          </w:p>
        </w:tc>
        <w:tc>
          <w:tcPr>
            <w:tcW w:w="4535" w:type="dxa"/>
            <w:vAlign w:val="center"/>
          </w:tcPr>
          <w:p>
            <w:pPr>
              <w:pStyle w:val="15"/>
            </w:pPr>
            <w:r>
              <w:t>行政事业单位养老支出</w:t>
            </w:r>
          </w:p>
        </w:tc>
        <w:tc>
          <w:tcPr>
            <w:tcW w:w="1361" w:type="dxa"/>
            <w:vAlign w:val="center"/>
          </w:tcPr>
          <w:p>
            <w:pPr>
              <w:pStyle w:val="14"/>
            </w:pPr>
            <w:r>
              <w:t>5.48</w:t>
            </w:r>
          </w:p>
        </w:tc>
        <w:tc>
          <w:tcPr>
            <w:tcW w:w="1361" w:type="dxa"/>
            <w:vAlign w:val="center"/>
          </w:tcPr>
          <w:p>
            <w:pPr>
              <w:pStyle w:val="14"/>
            </w:pPr>
            <w:r>
              <w:t>5.48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vAlign w:val="center"/>
          </w:tcPr>
          <w:p>
            <w:pPr>
              <w:pStyle w:val="15"/>
            </w:pPr>
            <w:r>
              <w:t>2080505</w:t>
            </w:r>
          </w:p>
        </w:tc>
        <w:tc>
          <w:tcPr>
            <w:tcW w:w="4535" w:type="dxa"/>
            <w:vAlign w:val="center"/>
          </w:tcPr>
          <w:p>
            <w:pPr>
              <w:pStyle w:val="15"/>
            </w:pPr>
            <w:r>
              <w:t>机关事业单位基本养老保险缴费支出</w:t>
            </w:r>
          </w:p>
        </w:tc>
        <w:tc>
          <w:tcPr>
            <w:tcW w:w="1361" w:type="dxa"/>
            <w:vAlign w:val="center"/>
          </w:tcPr>
          <w:p>
            <w:pPr>
              <w:pStyle w:val="14"/>
            </w:pPr>
            <w:r>
              <w:t>5.48</w:t>
            </w:r>
          </w:p>
        </w:tc>
        <w:tc>
          <w:tcPr>
            <w:tcW w:w="1361" w:type="dxa"/>
            <w:vAlign w:val="center"/>
          </w:tcPr>
          <w:p>
            <w:pPr>
              <w:pStyle w:val="14"/>
            </w:pPr>
            <w:r>
              <w:t>5.48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992" w:type="dxa"/>
            <w:vAlign w:val="center"/>
          </w:tcPr>
          <w:p>
            <w:pPr>
              <w:pStyle w:val="15"/>
            </w:pPr>
            <w:r>
              <w:t>210</w:t>
            </w:r>
          </w:p>
        </w:tc>
        <w:tc>
          <w:tcPr>
            <w:tcW w:w="4535" w:type="dxa"/>
            <w:vAlign w:val="center"/>
          </w:tcPr>
          <w:p>
            <w:pPr>
              <w:pStyle w:val="15"/>
            </w:pPr>
            <w:r>
              <w:t>卫生健康支出</w:t>
            </w:r>
          </w:p>
        </w:tc>
        <w:tc>
          <w:tcPr>
            <w:tcW w:w="1361" w:type="dxa"/>
            <w:vAlign w:val="center"/>
          </w:tcPr>
          <w:p>
            <w:pPr>
              <w:pStyle w:val="14"/>
            </w:pPr>
            <w:r>
              <w:t>2.84</w:t>
            </w:r>
          </w:p>
        </w:tc>
        <w:tc>
          <w:tcPr>
            <w:tcW w:w="1361" w:type="dxa"/>
            <w:vAlign w:val="center"/>
          </w:tcPr>
          <w:p>
            <w:pPr>
              <w:pStyle w:val="14"/>
            </w:pPr>
            <w:r>
              <w:t>2.84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992" w:type="dxa"/>
            <w:vAlign w:val="center"/>
          </w:tcPr>
          <w:p>
            <w:pPr>
              <w:pStyle w:val="15"/>
            </w:pPr>
            <w:r>
              <w:t>21011</w:t>
            </w:r>
          </w:p>
        </w:tc>
        <w:tc>
          <w:tcPr>
            <w:tcW w:w="4535" w:type="dxa"/>
            <w:vAlign w:val="center"/>
          </w:tcPr>
          <w:p>
            <w:pPr>
              <w:pStyle w:val="15"/>
            </w:pPr>
            <w:r>
              <w:t>行政事业单位医疗</w:t>
            </w:r>
          </w:p>
        </w:tc>
        <w:tc>
          <w:tcPr>
            <w:tcW w:w="1361" w:type="dxa"/>
            <w:vAlign w:val="center"/>
          </w:tcPr>
          <w:p>
            <w:pPr>
              <w:pStyle w:val="14"/>
            </w:pPr>
            <w:r>
              <w:t>2.84</w:t>
            </w:r>
          </w:p>
        </w:tc>
        <w:tc>
          <w:tcPr>
            <w:tcW w:w="1361" w:type="dxa"/>
            <w:vAlign w:val="center"/>
          </w:tcPr>
          <w:p>
            <w:pPr>
              <w:pStyle w:val="14"/>
            </w:pPr>
            <w:r>
              <w:t>2.84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992" w:type="dxa"/>
            <w:vAlign w:val="center"/>
          </w:tcPr>
          <w:p>
            <w:pPr>
              <w:pStyle w:val="15"/>
            </w:pPr>
            <w:r>
              <w:t>2101102</w:t>
            </w:r>
          </w:p>
        </w:tc>
        <w:tc>
          <w:tcPr>
            <w:tcW w:w="4535" w:type="dxa"/>
            <w:vAlign w:val="center"/>
          </w:tcPr>
          <w:p>
            <w:pPr>
              <w:pStyle w:val="15"/>
            </w:pPr>
            <w:r>
              <w:t>事业单位医疗</w:t>
            </w:r>
          </w:p>
        </w:tc>
        <w:tc>
          <w:tcPr>
            <w:tcW w:w="1361" w:type="dxa"/>
            <w:vAlign w:val="center"/>
          </w:tcPr>
          <w:p>
            <w:pPr>
              <w:pStyle w:val="14"/>
            </w:pPr>
            <w:r>
              <w:t>2.84</w:t>
            </w:r>
          </w:p>
        </w:tc>
        <w:tc>
          <w:tcPr>
            <w:tcW w:w="1361" w:type="dxa"/>
            <w:vAlign w:val="center"/>
          </w:tcPr>
          <w:p>
            <w:pPr>
              <w:pStyle w:val="14"/>
            </w:pPr>
            <w:r>
              <w:t>2.84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992" w:type="dxa"/>
            <w:vAlign w:val="center"/>
          </w:tcPr>
          <w:p>
            <w:pPr>
              <w:pStyle w:val="15"/>
            </w:pPr>
            <w:r>
              <w:t>221</w:t>
            </w:r>
          </w:p>
        </w:tc>
        <w:tc>
          <w:tcPr>
            <w:tcW w:w="4535" w:type="dxa"/>
            <w:vAlign w:val="center"/>
          </w:tcPr>
          <w:p>
            <w:pPr>
              <w:pStyle w:val="15"/>
            </w:pPr>
            <w:r>
              <w:t>住房保障支出</w:t>
            </w:r>
          </w:p>
        </w:tc>
        <w:tc>
          <w:tcPr>
            <w:tcW w:w="1361" w:type="dxa"/>
            <w:vAlign w:val="center"/>
          </w:tcPr>
          <w:p>
            <w:pPr>
              <w:pStyle w:val="14"/>
            </w:pPr>
            <w:r>
              <w:t>2.74</w:t>
            </w:r>
          </w:p>
        </w:tc>
        <w:tc>
          <w:tcPr>
            <w:tcW w:w="1361" w:type="dxa"/>
            <w:vAlign w:val="center"/>
          </w:tcPr>
          <w:p>
            <w:pPr>
              <w:pStyle w:val="14"/>
            </w:pPr>
            <w:r>
              <w:t>2.74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992" w:type="dxa"/>
            <w:vAlign w:val="center"/>
          </w:tcPr>
          <w:p>
            <w:pPr>
              <w:pStyle w:val="15"/>
            </w:pPr>
            <w:r>
              <w:t>22102</w:t>
            </w:r>
          </w:p>
        </w:tc>
        <w:tc>
          <w:tcPr>
            <w:tcW w:w="4535" w:type="dxa"/>
            <w:vAlign w:val="center"/>
          </w:tcPr>
          <w:p>
            <w:pPr>
              <w:pStyle w:val="15"/>
            </w:pPr>
            <w:r>
              <w:t>住房改革支出</w:t>
            </w:r>
          </w:p>
        </w:tc>
        <w:tc>
          <w:tcPr>
            <w:tcW w:w="1361" w:type="dxa"/>
            <w:vAlign w:val="center"/>
          </w:tcPr>
          <w:p>
            <w:pPr>
              <w:pStyle w:val="14"/>
            </w:pPr>
            <w:r>
              <w:t>2.74</w:t>
            </w:r>
          </w:p>
        </w:tc>
        <w:tc>
          <w:tcPr>
            <w:tcW w:w="1361" w:type="dxa"/>
            <w:vAlign w:val="center"/>
          </w:tcPr>
          <w:p>
            <w:pPr>
              <w:pStyle w:val="14"/>
            </w:pPr>
            <w:r>
              <w:t>2.74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992" w:type="dxa"/>
            <w:vAlign w:val="center"/>
          </w:tcPr>
          <w:p>
            <w:pPr>
              <w:pStyle w:val="15"/>
            </w:pPr>
            <w:r>
              <w:t>2210201</w:t>
            </w:r>
          </w:p>
        </w:tc>
        <w:tc>
          <w:tcPr>
            <w:tcW w:w="4535" w:type="dxa"/>
            <w:vAlign w:val="center"/>
          </w:tcPr>
          <w:p>
            <w:pPr>
              <w:pStyle w:val="15"/>
            </w:pPr>
            <w:r>
              <w:t>住房公积金</w:t>
            </w:r>
          </w:p>
        </w:tc>
        <w:tc>
          <w:tcPr>
            <w:tcW w:w="1361" w:type="dxa"/>
            <w:vAlign w:val="center"/>
          </w:tcPr>
          <w:p>
            <w:pPr>
              <w:pStyle w:val="14"/>
            </w:pPr>
            <w:r>
              <w:t>2.74</w:t>
            </w:r>
          </w:p>
        </w:tc>
        <w:tc>
          <w:tcPr>
            <w:tcW w:w="1361" w:type="dxa"/>
            <w:vAlign w:val="center"/>
          </w:tcPr>
          <w:p>
            <w:pPr>
              <w:pStyle w:val="14"/>
            </w:pPr>
            <w:r>
              <w:t>2.74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436昌黎县重点项目服务中心</w:t>
            </w:r>
          </w:p>
        </w:tc>
        <w:tc>
          <w:tcPr>
            <w:tcW w:w="3402" w:type="dxa"/>
            <w:tcBorders>
              <w:top w:val="single" w:color="FFFFFF" w:sz="6" w:space="0"/>
              <w:left w:val="single" w:color="FFFFFF" w:sz="6" w:space="0"/>
              <w:right w:val="single" w:color="FFFFFF" w:sz="6" w:space="0"/>
            </w:tcBorders>
            <w:vAlign w:val="center"/>
          </w:tcPr>
          <w:p>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vAlign w:val="center"/>
          </w:tcPr>
          <w:p>
            <w:pPr>
              <w:pStyle w:val="13"/>
            </w:pPr>
            <w:r>
              <w:t>收入</w:t>
            </w:r>
          </w:p>
        </w:tc>
        <w:tc>
          <w:tcPr>
            <w:tcW w:w="9298"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3"/>
            </w:pPr>
            <w:r>
              <w:t>项  目</w:t>
            </w:r>
          </w:p>
        </w:tc>
        <w:tc>
          <w:tcPr>
            <w:tcW w:w="1474" w:type="dxa"/>
            <w:vAlign w:val="center"/>
          </w:tcPr>
          <w:p>
            <w:pPr>
              <w:pStyle w:val="13"/>
            </w:pPr>
            <w:r>
              <w:t>金额</w:t>
            </w:r>
          </w:p>
        </w:tc>
        <w:tc>
          <w:tcPr>
            <w:tcW w:w="3402" w:type="dxa"/>
            <w:vAlign w:val="center"/>
          </w:tcPr>
          <w:p>
            <w:pPr>
              <w:pStyle w:val="13"/>
            </w:pPr>
            <w:r>
              <w:t>项  目</w:t>
            </w:r>
          </w:p>
        </w:tc>
        <w:tc>
          <w:tcPr>
            <w:tcW w:w="1474" w:type="dxa"/>
            <w:vAlign w:val="center"/>
          </w:tcPr>
          <w:p>
            <w:pPr>
              <w:pStyle w:val="13"/>
            </w:pPr>
            <w:r>
              <w:t>合计</w:t>
            </w:r>
          </w:p>
        </w:tc>
        <w:tc>
          <w:tcPr>
            <w:tcW w:w="1474" w:type="dxa"/>
            <w:vAlign w:val="center"/>
          </w:tcPr>
          <w:p>
            <w:pPr>
              <w:pStyle w:val="13"/>
            </w:pPr>
            <w:r>
              <w:t>一般公共预算财政拨款</w:t>
            </w:r>
          </w:p>
        </w:tc>
        <w:tc>
          <w:tcPr>
            <w:tcW w:w="1474" w:type="dxa"/>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vAlign w:val="center"/>
          </w:tcPr>
          <w:p>
            <w:pPr>
              <w:pStyle w:val="13"/>
            </w:pPr>
            <w:r>
              <w:t>1</w:t>
            </w:r>
          </w:p>
        </w:tc>
        <w:tc>
          <w:tcPr>
            <w:tcW w:w="1474" w:type="dxa"/>
            <w:vAlign w:val="center"/>
          </w:tcPr>
          <w:p>
            <w:pPr>
              <w:pStyle w:val="13"/>
            </w:pPr>
            <w:r>
              <w:t>2</w:t>
            </w:r>
          </w:p>
        </w:tc>
        <w:tc>
          <w:tcPr>
            <w:tcW w:w="3402" w:type="dxa"/>
            <w:vAlign w:val="center"/>
          </w:tcPr>
          <w:p>
            <w:pPr>
              <w:pStyle w:val="13"/>
            </w:pPr>
            <w:r>
              <w:t>3</w:t>
            </w:r>
          </w:p>
        </w:tc>
        <w:tc>
          <w:tcPr>
            <w:tcW w:w="1474" w:type="dxa"/>
            <w:vAlign w:val="center"/>
          </w:tcPr>
          <w:p>
            <w:pPr>
              <w:pStyle w:val="13"/>
            </w:pPr>
            <w:r>
              <w:t>4</w:t>
            </w:r>
          </w:p>
        </w:tc>
        <w:tc>
          <w:tcPr>
            <w:tcW w:w="1474" w:type="dxa"/>
            <w:vAlign w:val="center"/>
          </w:tcPr>
          <w:p>
            <w:pPr>
              <w:pStyle w:val="13"/>
            </w:pPr>
            <w:r>
              <w:t>5</w:t>
            </w:r>
          </w:p>
        </w:tc>
        <w:tc>
          <w:tcPr>
            <w:tcW w:w="1474" w:type="dxa"/>
            <w:vAlign w:val="center"/>
          </w:tcPr>
          <w:p>
            <w:pPr>
              <w:pStyle w:val="13"/>
            </w:pPr>
            <w:r>
              <w:t>6</w:t>
            </w:r>
          </w:p>
        </w:tc>
        <w:tc>
          <w:tcPr>
            <w:tcW w:w="1474"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vAlign w:val="center"/>
          </w:tcPr>
          <w:p>
            <w:pPr>
              <w:pStyle w:val="15"/>
            </w:pPr>
            <w:r>
              <w:t>一、一般公共预算拨款</w:t>
            </w:r>
          </w:p>
        </w:tc>
        <w:tc>
          <w:tcPr>
            <w:tcW w:w="1474" w:type="dxa"/>
            <w:vAlign w:val="center"/>
          </w:tcPr>
          <w:p>
            <w:pPr>
              <w:pStyle w:val="14"/>
            </w:pPr>
            <w:r>
              <w:t>48.55</w:t>
            </w:r>
          </w:p>
        </w:tc>
        <w:tc>
          <w:tcPr>
            <w:tcW w:w="3402" w:type="dxa"/>
            <w:vAlign w:val="center"/>
          </w:tcPr>
          <w:p>
            <w:pPr>
              <w:pStyle w:val="15"/>
            </w:pPr>
            <w:r>
              <w:t>一、一般公共服务支出</w:t>
            </w:r>
          </w:p>
        </w:tc>
        <w:tc>
          <w:tcPr>
            <w:tcW w:w="1474" w:type="dxa"/>
            <w:vAlign w:val="center"/>
          </w:tcPr>
          <w:p>
            <w:pPr>
              <w:pStyle w:val="14"/>
            </w:pPr>
            <w:r>
              <w:t>37.49</w:t>
            </w:r>
          </w:p>
        </w:tc>
        <w:tc>
          <w:tcPr>
            <w:tcW w:w="1474" w:type="dxa"/>
            <w:vAlign w:val="center"/>
          </w:tcPr>
          <w:p>
            <w:pPr>
              <w:pStyle w:val="14"/>
            </w:pPr>
            <w:r>
              <w:t>37.49</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r>
              <w:t>二、外交支出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r>
              <w:t>三、国防支出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四、公共安全支出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五、教育支出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六、科学技术支出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七、文化旅游体育与传媒支出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八、社会保障和就业支出</w:t>
            </w:r>
          </w:p>
        </w:tc>
        <w:tc>
          <w:tcPr>
            <w:tcW w:w="1474" w:type="dxa"/>
            <w:vAlign w:val="center"/>
          </w:tcPr>
          <w:p>
            <w:pPr>
              <w:pStyle w:val="14"/>
            </w:pPr>
            <w:r>
              <w:t>5.48</w:t>
            </w:r>
          </w:p>
        </w:tc>
        <w:tc>
          <w:tcPr>
            <w:tcW w:w="1474" w:type="dxa"/>
            <w:vAlign w:val="center"/>
          </w:tcPr>
          <w:p>
            <w:pPr>
              <w:pStyle w:val="14"/>
            </w:pPr>
            <w:r>
              <w:t>5.48</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九、社会保险基金支出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十、卫生健康支出</w:t>
            </w:r>
          </w:p>
        </w:tc>
        <w:tc>
          <w:tcPr>
            <w:tcW w:w="1474" w:type="dxa"/>
            <w:vAlign w:val="center"/>
          </w:tcPr>
          <w:p>
            <w:pPr>
              <w:pStyle w:val="14"/>
            </w:pPr>
            <w:r>
              <w:t>2.84</w:t>
            </w:r>
          </w:p>
        </w:tc>
        <w:tc>
          <w:tcPr>
            <w:tcW w:w="1474" w:type="dxa"/>
            <w:vAlign w:val="center"/>
          </w:tcPr>
          <w:p>
            <w:pPr>
              <w:pStyle w:val="14"/>
            </w:pPr>
            <w:r>
              <w:t>2.84</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十一、节能环保支出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十二、城乡社区支出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十三、农林水支出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十四、交通运输支出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十五、资源勘探工业信息等支出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十六、商业服务业等支出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十七、金融支出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十八、援助其他地区支出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十九、自然资源海洋气象等支出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二十、住房保障支出</w:t>
            </w:r>
          </w:p>
        </w:tc>
        <w:tc>
          <w:tcPr>
            <w:tcW w:w="1474" w:type="dxa"/>
            <w:vAlign w:val="center"/>
          </w:tcPr>
          <w:p>
            <w:pPr>
              <w:pStyle w:val="14"/>
            </w:pPr>
            <w:r>
              <w:t>2.74</w:t>
            </w:r>
          </w:p>
        </w:tc>
        <w:tc>
          <w:tcPr>
            <w:tcW w:w="1474" w:type="dxa"/>
            <w:vAlign w:val="center"/>
          </w:tcPr>
          <w:p>
            <w:pPr>
              <w:pStyle w:val="14"/>
            </w:pPr>
            <w:r>
              <w:t>2.74</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二十一、粮油物资储备支出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二十二、国有资本经营预算支出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二十三、灾害防治及应急管理支出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二十四、预备费</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二十五、其他支出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二十六、转移性支出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二十七、债务还本支出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二十八、债务付息支出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二十九、债务发行费用支出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三十、抗疫特别国债安排的支出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三十一、人行科目</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vAlign w:val="center"/>
          </w:tcPr>
          <w:p>
            <w:pPr>
              <w:pStyle w:val="17"/>
            </w:pPr>
            <w:r>
              <w:t>本年收入合计</w:t>
            </w:r>
          </w:p>
        </w:tc>
        <w:tc>
          <w:tcPr>
            <w:tcW w:w="1474" w:type="dxa"/>
            <w:vAlign w:val="center"/>
          </w:tcPr>
          <w:p>
            <w:pPr>
              <w:pStyle w:val="18"/>
            </w:pPr>
            <w:r>
              <w:t>48.55</w:t>
            </w:r>
          </w:p>
        </w:tc>
        <w:tc>
          <w:tcPr>
            <w:tcW w:w="3402" w:type="dxa"/>
            <w:vAlign w:val="center"/>
          </w:tcPr>
          <w:p>
            <w:pPr>
              <w:pStyle w:val="17"/>
            </w:pPr>
            <w:r>
              <w:t>本年支出合计</w:t>
            </w:r>
          </w:p>
        </w:tc>
        <w:tc>
          <w:tcPr>
            <w:tcW w:w="1474" w:type="dxa"/>
            <w:vAlign w:val="center"/>
          </w:tcPr>
          <w:p>
            <w:pPr>
              <w:pStyle w:val="18"/>
            </w:pPr>
            <w:r>
              <w:t>48.55</w:t>
            </w:r>
          </w:p>
        </w:tc>
        <w:tc>
          <w:tcPr>
            <w:tcW w:w="1474" w:type="dxa"/>
            <w:vAlign w:val="center"/>
          </w:tcPr>
          <w:p>
            <w:pPr>
              <w:pStyle w:val="18"/>
            </w:pPr>
            <w:r>
              <w:t>48.55</w:t>
            </w: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vAlign w:val="center"/>
          </w:tcPr>
          <w:p>
            <w:pPr>
              <w:pStyle w:val="15"/>
            </w:pPr>
            <w:r>
              <w:t>年初财政拨款结转和结余</w:t>
            </w:r>
          </w:p>
        </w:tc>
        <w:tc>
          <w:tcPr>
            <w:tcW w:w="1474" w:type="dxa"/>
            <w:vAlign w:val="center"/>
          </w:tcPr>
          <w:p>
            <w:pPr>
              <w:pStyle w:val="14"/>
            </w:pPr>
          </w:p>
        </w:tc>
        <w:tc>
          <w:tcPr>
            <w:tcW w:w="3402" w:type="dxa"/>
            <w:vAlign w:val="center"/>
          </w:tcPr>
          <w:p>
            <w:pPr>
              <w:pStyle w:val="15"/>
            </w:pPr>
            <w:r>
              <w:t>年末财政拨款结转和结余</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vAlign w:val="center"/>
          </w:tcPr>
          <w:p>
            <w:pPr>
              <w:pStyle w:val="15"/>
            </w:pPr>
            <w:r>
              <w:t>一、一般公共预算拨款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vAlign w:val="center"/>
          </w:tcPr>
          <w:p>
            <w:pPr>
              <w:pStyle w:val="17"/>
            </w:pPr>
            <w:r>
              <w:t>收入总计</w:t>
            </w:r>
          </w:p>
        </w:tc>
        <w:tc>
          <w:tcPr>
            <w:tcW w:w="1474" w:type="dxa"/>
            <w:vAlign w:val="center"/>
          </w:tcPr>
          <w:p>
            <w:pPr>
              <w:pStyle w:val="18"/>
            </w:pPr>
            <w:r>
              <w:t>48.55</w:t>
            </w:r>
          </w:p>
        </w:tc>
        <w:tc>
          <w:tcPr>
            <w:tcW w:w="3402" w:type="dxa"/>
            <w:vAlign w:val="center"/>
          </w:tcPr>
          <w:p>
            <w:pPr>
              <w:pStyle w:val="17"/>
            </w:pPr>
            <w:r>
              <w:t>支出总计</w:t>
            </w:r>
          </w:p>
        </w:tc>
        <w:tc>
          <w:tcPr>
            <w:tcW w:w="1474" w:type="dxa"/>
            <w:vAlign w:val="center"/>
          </w:tcPr>
          <w:p>
            <w:pPr>
              <w:pStyle w:val="18"/>
            </w:pPr>
            <w:r>
              <w:t>48.55</w:t>
            </w:r>
          </w:p>
        </w:tc>
        <w:tc>
          <w:tcPr>
            <w:tcW w:w="1474" w:type="dxa"/>
            <w:vAlign w:val="center"/>
          </w:tcPr>
          <w:p>
            <w:pPr>
              <w:pStyle w:val="18"/>
            </w:pPr>
            <w:r>
              <w:t>48.55</w:t>
            </w:r>
          </w:p>
        </w:tc>
        <w:tc>
          <w:tcPr>
            <w:tcW w:w="1474" w:type="dxa"/>
            <w:vAlign w:val="center"/>
          </w:tcPr>
          <w:p>
            <w:pPr>
              <w:pStyle w:val="18"/>
            </w:pPr>
          </w:p>
        </w:tc>
        <w:tc>
          <w:tcPr>
            <w:tcW w:w="1474" w:type="dxa"/>
            <w:vAlign w:val="center"/>
          </w:tcPr>
          <w:p>
            <w:pPr>
              <w:pStyle w:val="18"/>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436昌黎县重点项目服务中心</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48.55</w:t>
            </w:r>
          </w:p>
        </w:tc>
        <w:tc>
          <w:tcPr>
            <w:tcW w:w="2551" w:type="dxa"/>
            <w:vAlign w:val="center"/>
          </w:tcPr>
          <w:p>
            <w:pPr>
              <w:pStyle w:val="18"/>
            </w:pPr>
            <w:r>
              <w:t>48.55</w:t>
            </w:r>
          </w:p>
        </w:tc>
        <w:tc>
          <w:tcPr>
            <w:tcW w:w="255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201</w:t>
            </w:r>
          </w:p>
        </w:tc>
        <w:tc>
          <w:tcPr>
            <w:tcW w:w="4535" w:type="dxa"/>
            <w:vAlign w:val="center"/>
          </w:tcPr>
          <w:p>
            <w:pPr>
              <w:pStyle w:val="15"/>
            </w:pPr>
            <w:r>
              <w:t>一般公共服务支出</w:t>
            </w:r>
          </w:p>
        </w:tc>
        <w:tc>
          <w:tcPr>
            <w:tcW w:w="2551" w:type="dxa"/>
            <w:vAlign w:val="center"/>
          </w:tcPr>
          <w:p>
            <w:pPr>
              <w:pStyle w:val="14"/>
            </w:pPr>
            <w:r>
              <w:t>37.49</w:t>
            </w:r>
          </w:p>
        </w:tc>
        <w:tc>
          <w:tcPr>
            <w:tcW w:w="2551" w:type="dxa"/>
            <w:vAlign w:val="center"/>
          </w:tcPr>
          <w:p>
            <w:pPr>
              <w:pStyle w:val="14"/>
            </w:pPr>
            <w:r>
              <w:t>37.49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20104</w:t>
            </w:r>
          </w:p>
        </w:tc>
        <w:tc>
          <w:tcPr>
            <w:tcW w:w="4535" w:type="dxa"/>
            <w:vAlign w:val="center"/>
          </w:tcPr>
          <w:p>
            <w:pPr>
              <w:pStyle w:val="15"/>
            </w:pPr>
            <w:r>
              <w:t>发展与改革事务</w:t>
            </w:r>
          </w:p>
        </w:tc>
        <w:tc>
          <w:tcPr>
            <w:tcW w:w="2551" w:type="dxa"/>
            <w:vAlign w:val="center"/>
          </w:tcPr>
          <w:p>
            <w:pPr>
              <w:pStyle w:val="14"/>
            </w:pPr>
            <w:r>
              <w:t>37.49</w:t>
            </w:r>
          </w:p>
        </w:tc>
        <w:tc>
          <w:tcPr>
            <w:tcW w:w="2551" w:type="dxa"/>
            <w:vAlign w:val="center"/>
          </w:tcPr>
          <w:p>
            <w:pPr>
              <w:pStyle w:val="14"/>
            </w:pPr>
            <w:r>
              <w:t>37.49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2010450</w:t>
            </w:r>
          </w:p>
        </w:tc>
        <w:tc>
          <w:tcPr>
            <w:tcW w:w="4535" w:type="dxa"/>
            <w:vAlign w:val="center"/>
          </w:tcPr>
          <w:p>
            <w:pPr>
              <w:pStyle w:val="15"/>
            </w:pPr>
            <w:r>
              <w:t>事业运行</w:t>
            </w:r>
          </w:p>
        </w:tc>
        <w:tc>
          <w:tcPr>
            <w:tcW w:w="2551" w:type="dxa"/>
            <w:vAlign w:val="center"/>
          </w:tcPr>
          <w:p>
            <w:pPr>
              <w:pStyle w:val="14"/>
            </w:pPr>
            <w:r>
              <w:t>37.49</w:t>
            </w:r>
          </w:p>
        </w:tc>
        <w:tc>
          <w:tcPr>
            <w:tcW w:w="2551" w:type="dxa"/>
            <w:vAlign w:val="center"/>
          </w:tcPr>
          <w:p>
            <w:pPr>
              <w:pStyle w:val="14"/>
            </w:pPr>
            <w:r>
              <w:t>37.49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208</w:t>
            </w:r>
          </w:p>
        </w:tc>
        <w:tc>
          <w:tcPr>
            <w:tcW w:w="4535" w:type="dxa"/>
            <w:vAlign w:val="center"/>
          </w:tcPr>
          <w:p>
            <w:pPr>
              <w:pStyle w:val="15"/>
            </w:pPr>
            <w:r>
              <w:t>社会保障和就业支出</w:t>
            </w:r>
          </w:p>
        </w:tc>
        <w:tc>
          <w:tcPr>
            <w:tcW w:w="2551" w:type="dxa"/>
            <w:vAlign w:val="center"/>
          </w:tcPr>
          <w:p>
            <w:pPr>
              <w:pStyle w:val="14"/>
            </w:pPr>
            <w:r>
              <w:t>5.48</w:t>
            </w:r>
          </w:p>
        </w:tc>
        <w:tc>
          <w:tcPr>
            <w:tcW w:w="2551" w:type="dxa"/>
            <w:vAlign w:val="center"/>
          </w:tcPr>
          <w:p>
            <w:pPr>
              <w:pStyle w:val="14"/>
            </w:pPr>
            <w:r>
              <w:t>5.48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20805</w:t>
            </w:r>
          </w:p>
        </w:tc>
        <w:tc>
          <w:tcPr>
            <w:tcW w:w="4535" w:type="dxa"/>
            <w:vAlign w:val="center"/>
          </w:tcPr>
          <w:p>
            <w:pPr>
              <w:pStyle w:val="15"/>
            </w:pPr>
            <w:r>
              <w:t>行政事业单位养老支出</w:t>
            </w:r>
          </w:p>
        </w:tc>
        <w:tc>
          <w:tcPr>
            <w:tcW w:w="2551" w:type="dxa"/>
            <w:vAlign w:val="center"/>
          </w:tcPr>
          <w:p>
            <w:pPr>
              <w:pStyle w:val="14"/>
            </w:pPr>
            <w:r>
              <w:t>5.48</w:t>
            </w:r>
          </w:p>
        </w:tc>
        <w:tc>
          <w:tcPr>
            <w:tcW w:w="2551" w:type="dxa"/>
            <w:vAlign w:val="center"/>
          </w:tcPr>
          <w:p>
            <w:pPr>
              <w:pStyle w:val="14"/>
            </w:pPr>
            <w:r>
              <w:t>5.48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2080505</w:t>
            </w:r>
          </w:p>
        </w:tc>
        <w:tc>
          <w:tcPr>
            <w:tcW w:w="4535" w:type="dxa"/>
            <w:vAlign w:val="center"/>
          </w:tcPr>
          <w:p>
            <w:pPr>
              <w:pStyle w:val="15"/>
            </w:pPr>
            <w:r>
              <w:t>机关事业单位基本养老保险缴费支出</w:t>
            </w:r>
          </w:p>
        </w:tc>
        <w:tc>
          <w:tcPr>
            <w:tcW w:w="2551" w:type="dxa"/>
            <w:vAlign w:val="center"/>
          </w:tcPr>
          <w:p>
            <w:pPr>
              <w:pStyle w:val="14"/>
            </w:pPr>
            <w:r>
              <w:t>5.48</w:t>
            </w:r>
          </w:p>
        </w:tc>
        <w:tc>
          <w:tcPr>
            <w:tcW w:w="2551" w:type="dxa"/>
            <w:vAlign w:val="center"/>
          </w:tcPr>
          <w:p>
            <w:pPr>
              <w:pStyle w:val="14"/>
            </w:pPr>
            <w:r>
              <w:t>5.48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210</w:t>
            </w:r>
          </w:p>
        </w:tc>
        <w:tc>
          <w:tcPr>
            <w:tcW w:w="4535" w:type="dxa"/>
            <w:vAlign w:val="center"/>
          </w:tcPr>
          <w:p>
            <w:pPr>
              <w:pStyle w:val="15"/>
            </w:pPr>
            <w:r>
              <w:t>卫生健康支出</w:t>
            </w:r>
          </w:p>
        </w:tc>
        <w:tc>
          <w:tcPr>
            <w:tcW w:w="2551" w:type="dxa"/>
            <w:vAlign w:val="center"/>
          </w:tcPr>
          <w:p>
            <w:pPr>
              <w:pStyle w:val="14"/>
            </w:pPr>
            <w:r>
              <w:t>2.84</w:t>
            </w:r>
          </w:p>
        </w:tc>
        <w:tc>
          <w:tcPr>
            <w:tcW w:w="2551" w:type="dxa"/>
            <w:vAlign w:val="center"/>
          </w:tcPr>
          <w:p>
            <w:pPr>
              <w:pStyle w:val="14"/>
            </w:pPr>
            <w:r>
              <w:t>2.84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21011</w:t>
            </w:r>
          </w:p>
        </w:tc>
        <w:tc>
          <w:tcPr>
            <w:tcW w:w="4535" w:type="dxa"/>
            <w:vAlign w:val="center"/>
          </w:tcPr>
          <w:p>
            <w:pPr>
              <w:pStyle w:val="15"/>
            </w:pPr>
            <w:r>
              <w:t>行政事业单位医疗</w:t>
            </w:r>
          </w:p>
        </w:tc>
        <w:tc>
          <w:tcPr>
            <w:tcW w:w="2551" w:type="dxa"/>
            <w:vAlign w:val="center"/>
          </w:tcPr>
          <w:p>
            <w:pPr>
              <w:pStyle w:val="14"/>
            </w:pPr>
            <w:r>
              <w:t>2.84</w:t>
            </w:r>
          </w:p>
        </w:tc>
        <w:tc>
          <w:tcPr>
            <w:tcW w:w="2551" w:type="dxa"/>
            <w:vAlign w:val="center"/>
          </w:tcPr>
          <w:p>
            <w:pPr>
              <w:pStyle w:val="14"/>
            </w:pPr>
            <w:r>
              <w:t>2.84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2101102</w:t>
            </w:r>
          </w:p>
        </w:tc>
        <w:tc>
          <w:tcPr>
            <w:tcW w:w="4535" w:type="dxa"/>
            <w:vAlign w:val="center"/>
          </w:tcPr>
          <w:p>
            <w:pPr>
              <w:pStyle w:val="15"/>
            </w:pPr>
            <w:r>
              <w:t>事业单位医疗</w:t>
            </w:r>
          </w:p>
        </w:tc>
        <w:tc>
          <w:tcPr>
            <w:tcW w:w="2551" w:type="dxa"/>
            <w:vAlign w:val="center"/>
          </w:tcPr>
          <w:p>
            <w:pPr>
              <w:pStyle w:val="14"/>
            </w:pPr>
            <w:r>
              <w:t>2.84</w:t>
            </w:r>
          </w:p>
        </w:tc>
        <w:tc>
          <w:tcPr>
            <w:tcW w:w="2551" w:type="dxa"/>
            <w:vAlign w:val="center"/>
          </w:tcPr>
          <w:p>
            <w:pPr>
              <w:pStyle w:val="14"/>
            </w:pPr>
            <w:r>
              <w:t>2.84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221</w:t>
            </w:r>
          </w:p>
        </w:tc>
        <w:tc>
          <w:tcPr>
            <w:tcW w:w="4535" w:type="dxa"/>
            <w:vAlign w:val="center"/>
          </w:tcPr>
          <w:p>
            <w:pPr>
              <w:pStyle w:val="15"/>
            </w:pPr>
            <w:r>
              <w:t>住房保障支出</w:t>
            </w:r>
          </w:p>
        </w:tc>
        <w:tc>
          <w:tcPr>
            <w:tcW w:w="2551" w:type="dxa"/>
            <w:vAlign w:val="center"/>
          </w:tcPr>
          <w:p>
            <w:pPr>
              <w:pStyle w:val="14"/>
            </w:pPr>
            <w:r>
              <w:t>2.74</w:t>
            </w:r>
          </w:p>
        </w:tc>
        <w:tc>
          <w:tcPr>
            <w:tcW w:w="2551" w:type="dxa"/>
            <w:vAlign w:val="center"/>
          </w:tcPr>
          <w:p>
            <w:pPr>
              <w:pStyle w:val="14"/>
            </w:pPr>
            <w:r>
              <w:t>2.74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22102</w:t>
            </w:r>
          </w:p>
        </w:tc>
        <w:tc>
          <w:tcPr>
            <w:tcW w:w="4535" w:type="dxa"/>
            <w:vAlign w:val="center"/>
          </w:tcPr>
          <w:p>
            <w:pPr>
              <w:pStyle w:val="15"/>
            </w:pPr>
            <w:r>
              <w:t>住房改革支出</w:t>
            </w:r>
          </w:p>
        </w:tc>
        <w:tc>
          <w:tcPr>
            <w:tcW w:w="2551" w:type="dxa"/>
            <w:vAlign w:val="center"/>
          </w:tcPr>
          <w:p>
            <w:pPr>
              <w:pStyle w:val="14"/>
            </w:pPr>
            <w:r>
              <w:t>2.74</w:t>
            </w:r>
          </w:p>
        </w:tc>
        <w:tc>
          <w:tcPr>
            <w:tcW w:w="2551" w:type="dxa"/>
            <w:vAlign w:val="center"/>
          </w:tcPr>
          <w:p>
            <w:pPr>
              <w:pStyle w:val="14"/>
            </w:pPr>
            <w:r>
              <w:t>2.74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2210201</w:t>
            </w:r>
          </w:p>
        </w:tc>
        <w:tc>
          <w:tcPr>
            <w:tcW w:w="4535" w:type="dxa"/>
            <w:vAlign w:val="center"/>
          </w:tcPr>
          <w:p>
            <w:pPr>
              <w:pStyle w:val="15"/>
            </w:pPr>
            <w:r>
              <w:t>住房公积金</w:t>
            </w:r>
          </w:p>
        </w:tc>
        <w:tc>
          <w:tcPr>
            <w:tcW w:w="2551" w:type="dxa"/>
            <w:vAlign w:val="center"/>
          </w:tcPr>
          <w:p>
            <w:pPr>
              <w:pStyle w:val="14"/>
            </w:pPr>
            <w:r>
              <w:t>2.74</w:t>
            </w:r>
          </w:p>
        </w:tc>
        <w:tc>
          <w:tcPr>
            <w:tcW w:w="2551" w:type="dxa"/>
            <w:vAlign w:val="center"/>
          </w:tcPr>
          <w:p>
            <w:pPr>
              <w:pStyle w:val="14"/>
            </w:pPr>
            <w:r>
              <w:t>2.74</w:t>
            </w:r>
          </w:p>
        </w:tc>
        <w:tc>
          <w:tcPr>
            <w:tcW w:w="2551" w:type="dxa"/>
            <w:vAlign w:val="center"/>
          </w:tcPr>
          <w:p>
            <w:pPr>
              <w:pStyle w:val="14"/>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436昌黎县重点项目服务中心</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支出部门经济分类科目</w:t>
            </w:r>
          </w:p>
        </w:tc>
        <w:tc>
          <w:tcPr>
            <w:tcW w:w="7653"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Align w:val="center"/>
          </w:tcPr>
          <w:p>
            <w:pPr>
              <w:pStyle w:val="13"/>
            </w:pPr>
            <w:r>
              <w:t>合计</w:t>
            </w:r>
          </w:p>
        </w:tc>
        <w:tc>
          <w:tcPr>
            <w:tcW w:w="2551" w:type="dxa"/>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48.55</w:t>
            </w:r>
          </w:p>
        </w:tc>
        <w:tc>
          <w:tcPr>
            <w:tcW w:w="2551" w:type="dxa"/>
            <w:vAlign w:val="center"/>
          </w:tcPr>
          <w:p>
            <w:pPr>
              <w:pStyle w:val="18"/>
            </w:pPr>
            <w:r>
              <w:t>45.45</w:t>
            </w:r>
          </w:p>
        </w:tc>
        <w:tc>
          <w:tcPr>
            <w:tcW w:w="2551" w:type="dxa"/>
            <w:vAlign w:val="center"/>
          </w:tcPr>
          <w:p>
            <w:pPr>
              <w:pStyle w:val="18"/>
            </w:pPr>
            <w:r>
              <w:t>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301</w:t>
            </w:r>
          </w:p>
        </w:tc>
        <w:tc>
          <w:tcPr>
            <w:tcW w:w="4535" w:type="dxa"/>
            <w:vAlign w:val="center"/>
          </w:tcPr>
          <w:p>
            <w:pPr>
              <w:pStyle w:val="15"/>
            </w:pPr>
            <w:r>
              <w:t>工资福利支出</w:t>
            </w:r>
          </w:p>
        </w:tc>
        <w:tc>
          <w:tcPr>
            <w:tcW w:w="2551" w:type="dxa"/>
            <w:vAlign w:val="center"/>
          </w:tcPr>
          <w:p>
            <w:pPr>
              <w:pStyle w:val="14"/>
            </w:pPr>
            <w:r>
              <w:t>45.45</w:t>
            </w:r>
          </w:p>
        </w:tc>
        <w:tc>
          <w:tcPr>
            <w:tcW w:w="2551" w:type="dxa"/>
            <w:vAlign w:val="center"/>
          </w:tcPr>
          <w:p>
            <w:pPr>
              <w:pStyle w:val="14"/>
            </w:pPr>
            <w:r>
              <w:t>45.45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30101</w:t>
            </w:r>
          </w:p>
        </w:tc>
        <w:tc>
          <w:tcPr>
            <w:tcW w:w="4535" w:type="dxa"/>
            <w:vAlign w:val="center"/>
          </w:tcPr>
          <w:p>
            <w:pPr>
              <w:pStyle w:val="15"/>
            </w:pPr>
            <w:r>
              <w:t>基本工资</w:t>
            </w:r>
          </w:p>
        </w:tc>
        <w:tc>
          <w:tcPr>
            <w:tcW w:w="2551" w:type="dxa"/>
            <w:vAlign w:val="center"/>
          </w:tcPr>
          <w:p>
            <w:pPr>
              <w:pStyle w:val="14"/>
            </w:pPr>
            <w:r>
              <w:t>19.79</w:t>
            </w:r>
          </w:p>
        </w:tc>
        <w:tc>
          <w:tcPr>
            <w:tcW w:w="2551" w:type="dxa"/>
            <w:vAlign w:val="center"/>
          </w:tcPr>
          <w:p>
            <w:pPr>
              <w:pStyle w:val="14"/>
            </w:pPr>
            <w:r>
              <w:t>19.79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30102</w:t>
            </w:r>
          </w:p>
        </w:tc>
        <w:tc>
          <w:tcPr>
            <w:tcW w:w="4535" w:type="dxa"/>
            <w:vAlign w:val="center"/>
          </w:tcPr>
          <w:p>
            <w:pPr>
              <w:pStyle w:val="15"/>
            </w:pPr>
            <w:r>
              <w:t>津贴补贴</w:t>
            </w:r>
          </w:p>
        </w:tc>
        <w:tc>
          <w:tcPr>
            <w:tcW w:w="2551" w:type="dxa"/>
            <w:vAlign w:val="center"/>
          </w:tcPr>
          <w:p>
            <w:pPr>
              <w:pStyle w:val="14"/>
            </w:pPr>
            <w:r>
              <w:t>2.34</w:t>
            </w:r>
          </w:p>
        </w:tc>
        <w:tc>
          <w:tcPr>
            <w:tcW w:w="2551" w:type="dxa"/>
            <w:vAlign w:val="center"/>
          </w:tcPr>
          <w:p>
            <w:pPr>
              <w:pStyle w:val="14"/>
            </w:pPr>
            <w:r>
              <w:t>2.34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30107</w:t>
            </w:r>
          </w:p>
        </w:tc>
        <w:tc>
          <w:tcPr>
            <w:tcW w:w="4535" w:type="dxa"/>
            <w:vAlign w:val="center"/>
          </w:tcPr>
          <w:p>
            <w:pPr>
              <w:pStyle w:val="15"/>
            </w:pPr>
            <w:r>
              <w:t>绩效工资</w:t>
            </w:r>
          </w:p>
        </w:tc>
        <w:tc>
          <w:tcPr>
            <w:tcW w:w="2551" w:type="dxa"/>
            <w:vAlign w:val="center"/>
          </w:tcPr>
          <w:p>
            <w:pPr>
              <w:pStyle w:val="14"/>
            </w:pPr>
            <w:r>
              <w:t>11.89</w:t>
            </w:r>
          </w:p>
        </w:tc>
        <w:tc>
          <w:tcPr>
            <w:tcW w:w="2551" w:type="dxa"/>
            <w:vAlign w:val="center"/>
          </w:tcPr>
          <w:p>
            <w:pPr>
              <w:pStyle w:val="14"/>
            </w:pPr>
            <w:r>
              <w:t>11.89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30108</w:t>
            </w:r>
          </w:p>
        </w:tc>
        <w:tc>
          <w:tcPr>
            <w:tcW w:w="4535" w:type="dxa"/>
            <w:vAlign w:val="center"/>
          </w:tcPr>
          <w:p>
            <w:pPr>
              <w:pStyle w:val="15"/>
            </w:pPr>
            <w:r>
              <w:t>机关事业单位基本养老保险缴费</w:t>
            </w:r>
          </w:p>
        </w:tc>
        <w:tc>
          <w:tcPr>
            <w:tcW w:w="2551" w:type="dxa"/>
            <w:vAlign w:val="center"/>
          </w:tcPr>
          <w:p>
            <w:pPr>
              <w:pStyle w:val="14"/>
            </w:pPr>
            <w:r>
              <w:t>5.48</w:t>
            </w:r>
          </w:p>
        </w:tc>
        <w:tc>
          <w:tcPr>
            <w:tcW w:w="2551" w:type="dxa"/>
            <w:vAlign w:val="center"/>
          </w:tcPr>
          <w:p>
            <w:pPr>
              <w:pStyle w:val="14"/>
            </w:pPr>
            <w:r>
              <w:t>5.48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30110</w:t>
            </w:r>
          </w:p>
        </w:tc>
        <w:tc>
          <w:tcPr>
            <w:tcW w:w="4535" w:type="dxa"/>
            <w:vAlign w:val="center"/>
          </w:tcPr>
          <w:p>
            <w:pPr>
              <w:pStyle w:val="15"/>
            </w:pPr>
            <w:r>
              <w:t>职工基本医疗保险缴费</w:t>
            </w:r>
          </w:p>
        </w:tc>
        <w:tc>
          <w:tcPr>
            <w:tcW w:w="2551" w:type="dxa"/>
            <w:vAlign w:val="center"/>
          </w:tcPr>
          <w:p>
            <w:pPr>
              <w:pStyle w:val="14"/>
            </w:pPr>
            <w:r>
              <w:t>2.84</w:t>
            </w:r>
          </w:p>
        </w:tc>
        <w:tc>
          <w:tcPr>
            <w:tcW w:w="2551" w:type="dxa"/>
            <w:vAlign w:val="center"/>
          </w:tcPr>
          <w:p>
            <w:pPr>
              <w:pStyle w:val="14"/>
            </w:pPr>
            <w:r>
              <w:t>2.84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30112</w:t>
            </w:r>
          </w:p>
        </w:tc>
        <w:tc>
          <w:tcPr>
            <w:tcW w:w="4535" w:type="dxa"/>
            <w:vAlign w:val="center"/>
          </w:tcPr>
          <w:p>
            <w:pPr>
              <w:pStyle w:val="15"/>
            </w:pPr>
            <w:r>
              <w:t>其他社会保障缴费</w:t>
            </w:r>
          </w:p>
        </w:tc>
        <w:tc>
          <w:tcPr>
            <w:tcW w:w="2551" w:type="dxa"/>
            <w:vAlign w:val="center"/>
          </w:tcPr>
          <w:p>
            <w:pPr>
              <w:pStyle w:val="14"/>
            </w:pPr>
            <w:r>
              <w:t>0.36</w:t>
            </w:r>
          </w:p>
        </w:tc>
        <w:tc>
          <w:tcPr>
            <w:tcW w:w="2551" w:type="dxa"/>
            <w:vAlign w:val="center"/>
          </w:tcPr>
          <w:p>
            <w:pPr>
              <w:pStyle w:val="14"/>
            </w:pPr>
            <w:r>
              <w:t>0.36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30113</w:t>
            </w:r>
          </w:p>
        </w:tc>
        <w:tc>
          <w:tcPr>
            <w:tcW w:w="4535" w:type="dxa"/>
            <w:vAlign w:val="center"/>
          </w:tcPr>
          <w:p>
            <w:pPr>
              <w:pStyle w:val="15"/>
            </w:pPr>
            <w:r>
              <w:t>住房公积金</w:t>
            </w:r>
          </w:p>
        </w:tc>
        <w:tc>
          <w:tcPr>
            <w:tcW w:w="2551" w:type="dxa"/>
            <w:vAlign w:val="center"/>
          </w:tcPr>
          <w:p>
            <w:pPr>
              <w:pStyle w:val="14"/>
            </w:pPr>
            <w:r>
              <w:t>2.74</w:t>
            </w:r>
          </w:p>
        </w:tc>
        <w:tc>
          <w:tcPr>
            <w:tcW w:w="2551" w:type="dxa"/>
            <w:vAlign w:val="center"/>
          </w:tcPr>
          <w:p>
            <w:pPr>
              <w:pStyle w:val="14"/>
            </w:pPr>
            <w:r>
              <w:t>2.74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302</w:t>
            </w:r>
          </w:p>
        </w:tc>
        <w:tc>
          <w:tcPr>
            <w:tcW w:w="4535" w:type="dxa"/>
            <w:vAlign w:val="center"/>
          </w:tcPr>
          <w:p>
            <w:pPr>
              <w:pStyle w:val="15"/>
            </w:pPr>
            <w:r>
              <w:t>商品和服务支出</w:t>
            </w:r>
          </w:p>
        </w:tc>
        <w:tc>
          <w:tcPr>
            <w:tcW w:w="2551" w:type="dxa"/>
            <w:vAlign w:val="center"/>
          </w:tcPr>
          <w:p>
            <w:pPr>
              <w:pStyle w:val="14"/>
            </w:pPr>
            <w:r>
              <w:t>2.40</w:t>
            </w:r>
          </w:p>
        </w:tc>
        <w:tc>
          <w:tcPr>
            <w:tcW w:w="2551" w:type="dxa"/>
            <w:vAlign w:val="center"/>
          </w:tcPr>
          <w:p>
            <w:pPr>
              <w:pStyle w:val="14"/>
            </w:pPr>
          </w:p>
        </w:tc>
        <w:tc>
          <w:tcPr>
            <w:tcW w:w="2551" w:type="dxa"/>
            <w:vAlign w:val="center"/>
          </w:tcPr>
          <w:p>
            <w:pPr>
              <w:pStyle w:val="14"/>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30201</w:t>
            </w:r>
          </w:p>
        </w:tc>
        <w:tc>
          <w:tcPr>
            <w:tcW w:w="4535" w:type="dxa"/>
            <w:vAlign w:val="center"/>
          </w:tcPr>
          <w:p>
            <w:pPr>
              <w:pStyle w:val="15"/>
            </w:pPr>
            <w:r>
              <w:t>办公费</w:t>
            </w:r>
          </w:p>
        </w:tc>
        <w:tc>
          <w:tcPr>
            <w:tcW w:w="2551" w:type="dxa"/>
            <w:vAlign w:val="center"/>
          </w:tcPr>
          <w:p>
            <w:pPr>
              <w:pStyle w:val="14"/>
            </w:pPr>
            <w:r>
              <w:t>1.41</w:t>
            </w:r>
          </w:p>
        </w:tc>
        <w:tc>
          <w:tcPr>
            <w:tcW w:w="2551" w:type="dxa"/>
            <w:vAlign w:val="center"/>
          </w:tcPr>
          <w:p>
            <w:pPr>
              <w:pStyle w:val="14"/>
            </w:pPr>
          </w:p>
        </w:tc>
        <w:tc>
          <w:tcPr>
            <w:tcW w:w="2551" w:type="dxa"/>
            <w:vAlign w:val="center"/>
          </w:tcPr>
          <w:p>
            <w:pPr>
              <w:pStyle w:val="14"/>
            </w:pPr>
            <w:r>
              <w:t>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30228</w:t>
            </w:r>
          </w:p>
        </w:tc>
        <w:tc>
          <w:tcPr>
            <w:tcW w:w="4535" w:type="dxa"/>
            <w:vAlign w:val="center"/>
          </w:tcPr>
          <w:p>
            <w:pPr>
              <w:pStyle w:val="15"/>
            </w:pPr>
            <w:r>
              <w:t>工会经费</w:t>
            </w:r>
          </w:p>
        </w:tc>
        <w:tc>
          <w:tcPr>
            <w:tcW w:w="2551" w:type="dxa"/>
            <w:vAlign w:val="center"/>
          </w:tcPr>
          <w:p>
            <w:pPr>
              <w:pStyle w:val="14"/>
            </w:pPr>
            <w:r>
              <w:t>0.35</w:t>
            </w:r>
          </w:p>
        </w:tc>
        <w:tc>
          <w:tcPr>
            <w:tcW w:w="2551" w:type="dxa"/>
            <w:vAlign w:val="center"/>
          </w:tcPr>
          <w:p>
            <w:pPr>
              <w:pStyle w:val="14"/>
            </w:pPr>
          </w:p>
        </w:tc>
        <w:tc>
          <w:tcPr>
            <w:tcW w:w="2551" w:type="dxa"/>
            <w:vAlign w:val="center"/>
          </w:tcPr>
          <w:p>
            <w:pPr>
              <w:pStyle w:val="14"/>
            </w:pPr>
            <w: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30299</w:t>
            </w:r>
          </w:p>
        </w:tc>
        <w:tc>
          <w:tcPr>
            <w:tcW w:w="4535" w:type="dxa"/>
            <w:vAlign w:val="center"/>
          </w:tcPr>
          <w:p>
            <w:pPr>
              <w:pStyle w:val="15"/>
            </w:pPr>
            <w:r>
              <w:t>其他商品和服务支出</w:t>
            </w:r>
          </w:p>
        </w:tc>
        <w:tc>
          <w:tcPr>
            <w:tcW w:w="2551" w:type="dxa"/>
            <w:vAlign w:val="center"/>
          </w:tcPr>
          <w:p>
            <w:pPr>
              <w:pStyle w:val="14"/>
            </w:pPr>
            <w:r>
              <w:t>0.64</w:t>
            </w:r>
          </w:p>
        </w:tc>
        <w:tc>
          <w:tcPr>
            <w:tcW w:w="2551" w:type="dxa"/>
            <w:vAlign w:val="center"/>
          </w:tcPr>
          <w:p>
            <w:pPr>
              <w:pStyle w:val="14"/>
            </w:pPr>
          </w:p>
        </w:tc>
        <w:tc>
          <w:tcPr>
            <w:tcW w:w="2551" w:type="dxa"/>
            <w:vAlign w:val="center"/>
          </w:tcPr>
          <w:p>
            <w:pPr>
              <w:pStyle w:val="14"/>
            </w:pPr>
            <w:r>
              <w:t>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310</w:t>
            </w:r>
          </w:p>
        </w:tc>
        <w:tc>
          <w:tcPr>
            <w:tcW w:w="4535" w:type="dxa"/>
            <w:vAlign w:val="center"/>
          </w:tcPr>
          <w:p>
            <w:pPr>
              <w:pStyle w:val="15"/>
            </w:pPr>
            <w:r>
              <w:t>资本性支出</w:t>
            </w:r>
          </w:p>
        </w:tc>
        <w:tc>
          <w:tcPr>
            <w:tcW w:w="2551" w:type="dxa"/>
            <w:vAlign w:val="center"/>
          </w:tcPr>
          <w:p>
            <w:pPr>
              <w:pStyle w:val="14"/>
            </w:pPr>
            <w:r>
              <w:t>0.70</w:t>
            </w:r>
          </w:p>
        </w:tc>
        <w:tc>
          <w:tcPr>
            <w:tcW w:w="2551" w:type="dxa"/>
            <w:vAlign w:val="center"/>
          </w:tcPr>
          <w:p>
            <w:pPr>
              <w:pStyle w:val="14"/>
            </w:pPr>
          </w:p>
        </w:tc>
        <w:tc>
          <w:tcPr>
            <w:tcW w:w="2551" w:type="dxa"/>
            <w:vAlign w:val="center"/>
          </w:tcPr>
          <w:p>
            <w:pPr>
              <w:pStyle w:val="14"/>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31002</w:t>
            </w:r>
          </w:p>
        </w:tc>
        <w:tc>
          <w:tcPr>
            <w:tcW w:w="4535" w:type="dxa"/>
            <w:vAlign w:val="center"/>
          </w:tcPr>
          <w:p>
            <w:pPr>
              <w:pStyle w:val="15"/>
            </w:pPr>
            <w:r>
              <w:t>办公设备购置</w:t>
            </w:r>
          </w:p>
        </w:tc>
        <w:tc>
          <w:tcPr>
            <w:tcW w:w="2551" w:type="dxa"/>
            <w:vAlign w:val="center"/>
          </w:tcPr>
          <w:p>
            <w:pPr>
              <w:pStyle w:val="14"/>
            </w:pPr>
            <w:r>
              <w:t>0.70</w:t>
            </w:r>
          </w:p>
        </w:tc>
        <w:tc>
          <w:tcPr>
            <w:tcW w:w="2551" w:type="dxa"/>
            <w:vAlign w:val="center"/>
          </w:tcPr>
          <w:p>
            <w:pPr>
              <w:pStyle w:val="14"/>
            </w:pPr>
          </w:p>
        </w:tc>
        <w:tc>
          <w:tcPr>
            <w:tcW w:w="2551" w:type="dxa"/>
            <w:vAlign w:val="center"/>
          </w:tcPr>
          <w:p>
            <w:pPr>
              <w:pStyle w:val="14"/>
            </w:pPr>
            <w:r>
              <w:t>0.70</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436昌黎县重点项目服务中心</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436昌黎县重点项目服务中心</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2"/>
            </w:pPr>
            <w:r>
              <w:t>436昌黎县重点项目服务中心</w:t>
            </w:r>
          </w:p>
        </w:tc>
        <w:tc>
          <w:tcPr>
            <w:tcW w:w="2381" w:type="dxa"/>
            <w:tcBorders>
              <w:top w:val="single" w:color="FFFFFF" w:sz="6" w:space="0"/>
              <w:left w:val="single" w:color="FFFFFF" w:sz="6" w:space="0"/>
              <w:right w:val="single" w:color="FFFFFF" w:sz="6" w:space="0"/>
            </w:tcBorders>
            <w:vAlign w:val="center"/>
          </w:tcPr>
          <w:p>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3"/>
            </w:pPr>
            <w:r>
              <w:t>合计</w:t>
            </w:r>
          </w:p>
        </w:tc>
        <w:tc>
          <w:tcPr>
            <w:tcW w:w="2381" w:type="dxa"/>
            <w:vAlign w:val="center"/>
          </w:tcPr>
          <w:p>
            <w:pPr>
              <w:pStyle w:val="13"/>
            </w:pPr>
            <w:r>
              <w:t>一般公共预算              财政拨款</w:t>
            </w:r>
          </w:p>
        </w:tc>
        <w:tc>
          <w:tcPr>
            <w:tcW w:w="2381" w:type="dxa"/>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vAlign w:val="center"/>
          </w:tcPr>
          <w:p>
            <w:pPr>
              <w:pStyle w:val="13"/>
            </w:pPr>
            <w:r>
              <w:t>1</w:t>
            </w:r>
          </w:p>
        </w:tc>
        <w:tc>
          <w:tcPr>
            <w:tcW w:w="2381" w:type="dxa"/>
            <w:vAlign w:val="center"/>
          </w:tcPr>
          <w:p>
            <w:pPr>
              <w:pStyle w:val="13"/>
            </w:pPr>
            <w:r>
              <w:t>2</w:t>
            </w:r>
          </w:p>
        </w:tc>
        <w:tc>
          <w:tcPr>
            <w:tcW w:w="2381" w:type="dxa"/>
            <w:vAlign w:val="center"/>
          </w:tcPr>
          <w:p>
            <w:pPr>
              <w:pStyle w:val="13"/>
            </w:pPr>
            <w:r>
              <w:t>3</w:t>
            </w:r>
          </w:p>
        </w:tc>
        <w:tc>
          <w:tcPr>
            <w:tcW w:w="2381" w:type="dxa"/>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p>
        </w:tc>
        <w:tc>
          <w:tcPr>
            <w:tcW w:w="3798" w:type="dxa"/>
            <w:vAlign w:val="center"/>
          </w:tcPr>
          <w:p>
            <w:pPr>
              <w:pStyle w:val="15"/>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docGrid w:linePitch="326" w:charSpace="0"/>
        </w:sectPr>
      </w:pPr>
      <w:r>
        <w:rPr>
          <w:rFonts w:ascii="方正书宋_GBK" w:hAnsi="方正书宋_GBK" w:eastAsia="方正书宋_GBK" w:cs="方正书宋_GBK"/>
          <w:color w:val="FFFFFF"/>
          <w:sz w:val="21"/>
        </w:rPr>
        <w:t>第一部分  昌黎县重点项目服务中心2026年部门预算信息公开情况说明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昌黎县重点项目服务中心2026年部门预算信息公开情况说明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按照《中华人民共和国预算法》、《地方预决算公开操作规程》和《关于进一步推进预算公开工作的实施意见》规定，现将昌黎县重点项目服务中心2026年部门预算公开如下：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20"/>
      </w:pPr>
      <w:r>
        <w:t>一、根据县域经济社会高质量发展需要，对中央及省市有关项目建设、产业发展、招商引资等方面的前沿政策以及推进具体措施进行前瞻性研究，提出相关的建议、意见；</w:t>
      </w:r>
    </w:p>
    <w:p>
      <w:pPr>
        <w:pStyle w:val="20"/>
      </w:pPr>
      <w:r>
        <w:t>二、跟踪借鉴外地市先进招商政策，开展县域招商优惠政策和具体措施进行可行性研究；</w:t>
      </w:r>
    </w:p>
    <w:p>
      <w:pPr>
        <w:pStyle w:val="20"/>
      </w:pPr>
      <w:r>
        <w:t>三、参与县级层面重大项目的洽谈和推进，承担重大投资项目合法性、合理性、可行性、可控性等程序和协议的综合研判审核，提出咨询建议；</w:t>
      </w:r>
    </w:p>
    <w:p>
      <w:pPr>
        <w:pStyle w:val="20"/>
      </w:pPr>
      <w:r>
        <w:t>四、为县域重点项目、重大工程提供全生命周期配套服务，加快项目顺利落地；</w:t>
      </w:r>
    </w:p>
    <w:p>
      <w:pPr>
        <w:pStyle w:val="20"/>
      </w:pPr>
      <w:r>
        <w:t>五、做好“长三角”“珠三角”、东北、西南及国外等驻外招商期间的协调、对接、联络服务等工作；</w:t>
      </w:r>
    </w:p>
    <w:p>
      <w:pPr>
        <w:pStyle w:val="20"/>
      </w:pPr>
      <w:r>
        <w:t>六、协调推进昌黎县决策咨询委员会的具体工作，负责县决策咨询委员会专家智库、县法律专家顾问团等服务县域高质量发展研究的各类组织、团队的建设管理工作，做好相关专业知识培训工作；</w:t>
      </w:r>
    </w:p>
    <w:p>
      <w:pPr>
        <w:pStyle w:val="20"/>
      </w:pPr>
      <w:r>
        <w:t>七、承办县委、县政府交办的其他事项。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昌黎县重点项目服务中心本级</w:t>
            </w:r>
          </w:p>
        </w:tc>
        <w:tc>
          <w:tcPr>
            <w:tcW w:w="1843" w:type="dxa"/>
            <w:vAlign w:val="center"/>
          </w:tcPr>
          <w:p>
            <w:pPr>
              <w:pStyle w:val="16"/>
            </w:pPr>
            <w:r>
              <w:t>事业</w:t>
            </w:r>
          </w:p>
        </w:tc>
        <w:tc>
          <w:tcPr>
            <w:tcW w:w="2126" w:type="dxa"/>
            <w:vAlign w:val="center"/>
          </w:tcPr>
          <w:p>
            <w:pPr>
              <w:pStyle w:val="16"/>
            </w:pPr>
            <w:r>
              <w:t>正科级</w:t>
            </w:r>
          </w:p>
        </w:tc>
        <w:tc>
          <w:tcPr>
            <w:tcW w:w="3827" w:type="dxa"/>
            <w:vAlign w:val="center"/>
          </w:tcPr>
          <w:p>
            <w:pPr>
              <w:pStyle w:val="16"/>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1"/>
      </w:pPr>
      <w:r>
        <w:t>按照预算管理有关规定，目前部门预算的编制实行综合预算管理，即全部收入和支出都反映在预算中。昌黎县重点项目服务中心机关及所属事业单位的收支包含在部门预算中。</w:t>
      </w:r>
    </w:p>
    <w:p>
      <w:pPr>
        <w:pStyle w:val="21"/>
      </w:pPr>
      <w:r>
        <w:t>1、收入说明</w:t>
      </w:r>
    </w:p>
    <w:p>
      <w:pPr>
        <w:pStyle w:val="21"/>
      </w:pPr>
      <w:r>
        <w:t>反映本部门当年全部收入。2026年预算收入48.55万元，其中：一般公共预算收入48.55万元，基金预算收入0.00万元，国有资本经营预算收入0.00万元，财政专户核拨收入0.00万元，单位资金收入0.00万元，上年结转结余0.00万元。</w:t>
      </w:r>
    </w:p>
    <w:p>
      <w:pPr>
        <w:pStyle w:val="21"/>
      </w:pPr>
      <w:r>
        <w:t>2、支出说明</w:t>
      </w:r>
    </w:p>
    <w:p>
      <w:pPr>
        <w:pStyle w:val="21"/>
      </w:pPr>
      <w:r>
        <w:t>收支预算总表支出栏、基本支出表、项目支出表按经济分类和支出功能分类科目编制，反映昌黎县重点项目服务中心年度部门预算中支出预算的总体情况。2026年支出预算48.55万元，其中基本支出48.55万元，包括人员经费45.45万元和日常公用经费3.10万元；项目支出0.00万元，主要为2026年我部门无项目支出；预计下年使用的单位资金结余0.00万元。委托业务费共计安排0.00万元，主要用于因技术原因确需对外委托的辅助性工作和确有必要对外委托开展咨询、评审、规划等工作。</w:t>
      </w:r>
    </w:p>
    <w:p>
      <w:pPr>
        <w:pStyle w:val="21"/>
      </w:pPr>
      <w:r>
        <w:t>3、比上年增减情况</w:t>
      </w:r>
    </w:p>
    <w:p>
      <w:pPr>
        <w:pStyle w:val="21"/>
      </w:pPr>
      <w:r>
        <w:t>2026年预算收支安排48.55万元，较2025年预算增加3.88万元，其中：基本支出增加3.88万元，主要为工资标准调整，人员增加。项目支出增加0.00万元，主要为2026年我部门无项目支出。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2"/>
      </w:pPr>
      <w:r>
        <w:t>2026年，我部门机关运行经费共计安排3.10万元，主要用于日常维修、办公用房水电费、办公用房取暖费、办公用房物业管理费等日常运行支出。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3"/>
      </w:pPr>
      <w:r>
        <w:t>2026年，我部门财政拨款“三公”经费预算安排0.00万元，其中因公出国（境）费0.00万元；公务用车购置及运维费0.00万元（其中：公务用车购置费为0.00万元，公务用车运维费0.00万元)；公务接待费0.00万元。与2025年相比增加0.00万元，增减变化的主要原因是为落实习惯过紧日子要求，未安排三公经费支出。</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4"/>
      </w:pPr>
      <w:r>
        <w:t>坚持以习近平新时代中国特色社会主义思想为指导，全面贯彻党的二十大精神，贯彻落实</w:t>
      </w:r>
      <w:r>
        <w:rPr>
          <w:rFonts w:ascii="宋体" w:hAnsi="宋体" w:eastAsia="宋体" w:cs="宋体"/>
          <w:i w:val="0"/>
          <w:iCs w:val="0"/>
          <w:caps w:val="0"/>
          <w:color w:val="333333"/>
          <w:spacing w:val="0"/>
          <w:sz w:val="27"/>
          <w:szCs w:val="27"/>
          <w:shd w:val="clear" w:fill="FFFFFF"/>
        </w:rPr>
        <w:t>党的</w:t>
      </w:r>
      <w:r>
        <w:t>二十大和二十届历次全会精神</w:t>
      </w:r>
      <w:r>
        <w:t>，在县委、县政府的坚强领导下，紧紧围绕全县中心工作，立足本职，具体体现在如</w:t>
      </w:r>
      <w:bookmarkStart w:id="20" w:name="_GoBack"/>
      <w:bookmarkEnd w:id="20"/>
      <w:r>
        <w:t>下方面：收集全县营商环境相关意见、建议及工作信息，开展调研分析兵提出措施、建议；贯彻落实优化营商环境相关法律法规、规章和政策；对县领导批转事项进行分析研究，提出相关咨询建议；统筹全县法律顾问队伍和决策咨询委员会专家库的组织、协调管理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5"/>
      </w:pPr>
      <w:r>
        <w:t>（一）提高审核协议文本的效率和质量   绩效目标：学习各项法律、法规的修订、国家省市的最新政策等相关信息，在与各项目单位对接的同时，关注新模式、典型经验做法的学习研究。</w:t>
      </w:r>
    </w:p>
    <w:p>
      <w:pPr>
        <w:pStyle w:val="25"/>
      </w:pPr>
      <w:r>
        <w:t>绩效指标：全年开展法律专项业务培训不少于6次，杜绝“以惯例作标尺”，在项目洽谈推进中科学精准的找难点、疏堵点。</w:t>
      </w:r>
    </w:p>
    <w:p>
      <w:pPr>
        <w:pStyle w:val="25"/>
      </w:pPr>
      <w:r>
        <w:t>（二）完善法律顾问体系</w:t>
      </w:r>
    </w:p>
    <w:p>
      <w:pPr>
        <w:pStyle w:val="25"/>
      </w:pPr>
      <w:r>
        <w:t>绩效目标：健全科学民主依法决策机制，规范重大行政决策行为，提高决策质量，实现领导决策的科学性、合法性、实效性，逐渐形成完善法律咨询体系。</w:t>
      </w:r>
    </w:p>
    <w:p>
      <w:pPr>
        <w:pStyle w:val="25"/>
      </w:pPr>
      <w:r>
        <w:t>绩效指标：为全县76个党政机关事业单位聘用法律顾问，实现一对一精准服务，为社会治理、社会稳定营造良好的法治环境。</w:t>
      </w:r>
    </w:p>
    <w:p>
      <w:pPr>
        <w:pStyle w:val="25"/>
      </w:pPr>
      <w:r>
        <w:t>（三）专家会诊研究重大项目</w:t>
      </w:r>
    </w:p>
    <w:p>
      <w:pPr>
        <w:pStyle w:val="25"/>
      </w:pPr>
      <w:r>
        <w:t>绩效目标：推行“纵向研究、横向交流”的专家会诊模式，合法、合规、科学、合理的为县域重点项目、重大工程提供全生命周期咨询配套服务。</w:t>
      </w:r>
    </w:p>
    <w:p>
      <w:pPr>
        <w:pStyle w:val="25"/>
      </w:pPr>
      <w:r>
        <w:t>绩效指标：全年参与研究重大项目不少于20项，提出全方位、多角度的咨询建议，为领导依法决策提供参考意见。</w:t>
      </w:r>
    </w:p>
    <w:p>
      <w:pPr>
        <w:pStyle w:val="25"/>
      </w:pPr>
      <w:r>
        <w:t>（四）立足高质量发展</w:t>
      </w:r>
    </w:p>
    <w:p>
      <w:pPr>
        <w:pStyle w:val="25"/>
      </w:pPr>
      <w:r>
        <w:t>绩效目标：对中央及省市有关产业发展、招商引资、项目建设、优化营商环境等方面的前沿政策方向、推进具体措施进行前瞻性研究，提出相关的建议。</w:t>
      </w:r>
    </w:p>
    <w:p>
      <w:pPr>
        <w:pStyle w:val="25"/>
      </w:pPr>
      <w:r>
        <w:t>绩效指标：坚持每周将央企落户、项目落地等方面工作相关信息详细汇总上报，引进的8家央企子公司全部完成产权登记。</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6"/>
      </w:pPr>
      <w:r>
        <w:t>1、完善制度建设</w:t>
      </w:r>
    </w:p>
    <w:p>
      <w:pPr>
        <w:pStyle w:val="26"/>
      </w:pPr>
      <w:r>
        <w:t>制定完善的预算绩效管理制度、资金管理办法、工作保障制度等，为全年预算绩效目标的实现奠定制度基础。</w:t>
      </w:r>
    </w:p>
    <w:p>
      <w:pPr>
        <w:pStyle w:val="26"/>
      </w:pPr>
      <w:r>
        <w:t>2、加强支出管理</w:t>
      </w:r>
    </w:p>
    <w:p>
      <w:pPr>
        <w:pStyle w:val="26"/>
      </w:pPr>
      <w:r>
        <w:t>优化支出结构、编细编实预算、加快履行政府采购手续、尽快启动项目、及时支付资金、按规定及时下达资金等多种措施，确保支出进度达标。</w:t>
      </w:r>
    </w:p>
    <w:p>
      <w:pPr>
        <w:pStyle w:val="26"/>
      </w:pPr>
      <w:r>
        <w:t>3、加强绩效运行监控</w:t>
      </w:r>
    </w:p>
    <w:p>
      <w:pPr>
        <w:pStyle w:val="26"/>
      </w:pPr>
      <w:r>
        <w:t>按要求开展绩效运行监控，发现问题及时采取措施，确保绩效目标如期保质实现。</w:t>
      </w:r>
    </w:p>
    <w:p>
      <w:pPr>
        <w:pStyle w:val="26"/>
      </w:pPr>
      <w:r>
        <w:t>4、做好绩效自评</w:t>
      </w:r>
    </w:p>
    <w:p>
      <w:pPr>
        <w:pStyle w:val="26"/>
      </w:pPr>
      <w:r>
        <w:t>按要求开展上年度部门预算绩效自评和重点评价工作，对评价中发现的问题及时整改，调整优化支出结构，提高财政资金使用效益。</w:t>
      </w:r>
    </w:p>
    <w:p>
      <w:pPr>
        <w:pStyle w:val="26"/>
      </w:pPr>
      <w:r>
        <w:t>5、规范财务资产管理</w:t>
      </w:r>
    </w:p>
    <w:p>
      <w:pPr>
        <w:pStyle w:val="26"/>
      </w:pPr>
      <w:r>
        <w:t>完善财务管理制度，严格审批程序，加强固定资产登记、使用和报废处置管理，做到支出合理，物尽其用。</w:t>
      </w:r>
    </w:p>
    <w:p>
      <w:pPr>
        <w:pStyle w:val="26"/>
      </w:pPr>
      <w:r>
        <w:t>6、加强内部监督</w:t>
      </w:r>
    </w:p>
    <w:p>
      <w:pPr>
        <w:pStyle w:val="26"/>
      </w:pPr>
      <w: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6"/>
      </w:pPr>
      <w:r>
        <w:t>7、加强宣传培训调研等</w:t>
      </w:r>
    </w:p>
    <w:p>
      <w:pPr>
        <w:pStyle w:val="26"/>
        <w:sectPr>
          <w:pgSz w:w="16840" w:h="11900" w:orient="landscape"/>
          <w:pgMar w:top="1361" w:right="1020" w:bottom="1361" w:left="1020" w:header="720" w:footer="720" w:gutter="0"/>
          <w:cols w:space="720" w:num="1"/>
          <w:docGrid w:linePitch="326" w:charSpace="0"/>
        </w:sectPr>
      </w:pPr>
      <w:r>
        <w:t>加强人员培训，提高本部门职工业务素质，加强调研，提出优化财政资金配置、提高资金使用效益的意见；加大宣传力度，强化预算绩效管理意识，促进预算绩效管理水平进一步提升。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left="0" w:firstLine="1280" w:firstLineChars="400"/>
        <w:jc w:val="left"/>
        <w:outlineLvl w:val="2"/>
        <w:sectPr>
          <w:pgSz w:w="16840" w:h="11900" w:orient="landscape"/>
          <w:pgMar w:top="1361" w:right="1020" w:bottom="1134" w:left="1020" w:header="720" w:footer="720" w:gutter="0"/>
          <w:cols w:space="720" w:num="1"/>
          <w:docGrid w:linePitch="326" w:charSpace="0"/>
        </w:sectPr>
      </w:pPr>
      <w:r>
        <w:rPr>
          <w:rFonts w:ascii="黑体" w:hAnsi="黑体" w:eastAsia="黑体" w:cs="黑体"/>
          <w:color w:val="000000"/>
          <w:sz w:val="32"/>
        </w:rPr>
        <w:t>无</w:t>
      </w:r>
    </w:p>
    <w:p>
      <w:pPr>
        <w:spacing w:before="10" w:after="10" w:line="360" w:lineRule="auto"/>
        <w:ind w:firstLine="640"/>
        <w:jc w:val="left"/>
        <w:outlineLvl w:val="2"/>
        <w:rPr>
          <w:rFonts w:ascii="黑体" w:hAnsi="黑体" w:eastAsia="黑体" w:cs="黑体"/>
          <w:color w:val="000000"/>
          <w:sz w:val="32"/>
        </w:rPr>
      </w:pPr>
      <w:bookmarkStart w:id="15" w:name="_Toc_3_3_0000000016"/>
      <w:r>
        <w:rPr>
          <w:rFonts w:ascii="黑体" w:hAnsi="黑体" w:eastAsia="黑体" w:cs="黑体"/>
          <w:color w:val="000000"/>
          <w:sz w:val="32"/>
        </w:rPr>
        <w:t>七、部门项目预算安排情况及绩效目标</w:t>
      </w:r>
      <w:bookmarkEnd w:id="15"/>
    </w:p>
    <w:p>
      <w:pPr>
        <w:spacing w:before="10" w:after="10" w:line="360" w:lineRule="auto"/>
        <w:ind w:firstLine="1280" w:firstLineChars="400"/>
        <w:jc w:val="left"/>
        <w:outlineLvl w:val="2"/>
        <w:sectPr>
          <w:pgSz w:w="16840" w:h="11900" w:orient="landscape"/>
          <w:pgMar w:top="1361" w:right="1020" w:bottom="1134" w:left="1020" w:header="720" w:footer="720" w:gutter="0"/>
          <w:cols w:space="720" w:num="1"/>
          <w:docGrid w:linePitch="326" w:charSpace="0"/>
        </w:sectPr>
      </w:pPr>
      <w:r>
        <w:rPr>
          <w:rFonts w:ascii="黑体" w:hAnsi="黑体" w:eastAsia="黑体" w:cs="黑体"/>
          <w:color w:val="000000"/>
          <w:sz w:val="32"/>
        </w:rPr>
        <w:t>无</w:t>
      </w: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436昌黎县重点项目服务中心</w:t>
            </w:r>
          </w:p>
        </w:tc>
        <w:tc>
          <w:tcPr>
            <w:tcW w:w="8676"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7712" w:type="dxa"/>
            <w:gridSpan w:val="8"/>
            <w:vAlign w:val="center"/>
          </w:tcPr>
          <w:p>
            <w:pPr>
              <w:pStyle w:val="13"/>
            </w:pPr>
            <w:r>
              <w:t>政府采购金额（当年部门预算安排资金）</w:t>
            </w:r>
          </w:p>
        </w:tc>
        <w:tc>
          <w:tcPr>
            <w:tcW w:w="964" w:type="dxa"/>
            <w:vMerge w:val="restart"/>
            <w:vAlign w:val="center"/>
          </w:tcPr>
          <w:p>
            <w:pPr>
              <w:pStyle w:val="13"/>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财政拨款结转</w:t>
            </w:r>
          </w:p>
        </w:tc>
        <w:tc>
          <w:tcPr>
            <w:tcW w:w="964" w:type="dxa"/>
            <w:vAlign w:val="center"/>
          </w:tcPr>
          <w:p>
            <w:pPr>
              <w:pStyle w:val="13"/>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p>
        </w:tc>
        <w:tc>
          <w:tcPr>
            <w:tcW w:w="964" w:type="dxa"/>
            <w:vAlign w:val="center"/>
          </w:tcPr>
          <w:p>
            <w:pPr>
              <w:pStyle w:val="14"/>
            </w:pPr>
          </w:p>
        </w:tc>
        <w:tc>
          <w:tcPr>
            <w:tcW w:w="1134" w:type="dxa"/>
            <w:vAlign w:val="center"/>
          </w:tcPr>
          <w:p>
            <w:pPr>
              <w:pStyle w:val="15"/>
            </w:pPr>
          </w:p>
        </w:tc>
        <w:tc>
          <w:tcPr>
            <w:tcW w:w="1134" w:type="dxa"/>
            <w:vAlign w:val="center"/>
          </w:tcPr>
          <w:p>
            <w:pPr>
              <w:pStyle w:val="15"/>
            </w:pPr>
          </w:p>
        </w:tc>
        <w:tc>
          <w:tcPr>
            <w:tcW w:w="709" w:type="dxa"/>
            <w:vAlign w:val="center"/>
          </w:tcPr>
          <w:p>
            <w:pPr>
              <w:pStyle w:val="16"/>
            </w:pPr>
          </w:p>
        </w:tc>
        <w:tc>
          <w:tcPr>
            <w:tcW w:w="850" w:type="dxa"/>
            <w:vAlign w:val="center"/>
          </w:tcPr>
          <w:p>
            <w:pPr>
              <w:pStyle w:val="14"/>
            </w:pPr>
          </w:p>
        </w:tc>
        <w:tc>
          <w:tcPr>
            <w:tcW w:w="850"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昌黎县重点项目服务中心（含所属单位）上年末固定资产金额为6.95万元（详见下表）。本年度拟购置固定资产总额为0.70万元，已按要求列入政府采购预算，详见政府采购预算表。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436昌黎县重点项目服务中心</w:t>
            </w:r>
          </w:p>
        </w:tc>
        <w:tc>
          <w:tcPr>
            <w:tcW w:w="5670" w:type="dxa"/>
            <w:gridSpan w:val="2"/>
            <w:tcBorders>
              <w:top w:val="single" w:color="FFFFFF" w:sz="6" w:space="0"/>
              <w:left w:val="single" w:color="FFFFFF" w:sz="6" w:space="0"/>
              <w:right w:val="single" w:color="FFFFFF" w:sz="6" w:space="0"/>
            </w:tcBorders>
            <w:vAlign w:val="center"/>
          </w:tcPr>
          <w:p>
            <w:pPr>
              <w:pStyle w:val="10"/>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3"/>
            </w:pPr>
            <w:r>
              <w:t>项   目</w:t>
            </w:r>
          </w:p>
        </w:tc>
        <w:tc>
          <w:tcPr>
            <w:tcW w:w="2835" w:type="dxa"/>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资产总额</w:t>
            </w:r>
          </w:p>
        </w:tc>
        <w:tc>
          <w:tcPr>
            <w:tcW w:w="2835" w:type="dxa"/>
            <w:vAlign w:val="center"/>
          </w:tcPr>
          <w:p>
            <w:pPr>
              <w:pStyle w:val="16"/>
            </w:pPr>
          </w:p>
        </w:tc>
        <w:tc>
          <w:tcPr>
            <w:tcW w:w="2835" w:type="dxa"/>
            <w:vAlign w:val="center"/>
          </w:tcPr>
          <w:p>
            <w:pPr>
              <w:pStyle w:val="14"/>
            </w:pPr>
            <w:r>
              <w:t>6.95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1、房屋（平方米）</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　　其中：办公用房（平方米）</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2、车辆（台、辆）</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3、单价在20万元以上的设备</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4、其他固定资产</w:t>
            </w:r>
          </w:p>
        </w:tc>
        <w:tc>
          <w:tcPr>
            <w:tcW w:w="2835" w:type="dxa"/>
            <w:vAlign w:val="center"/>
          </w:tcPr>
          <w:p>
            <w:pPr>
              <w:pStyle w:val="16"/>
            </w:pPr>
            <w:r>
              <w:t>72</w:t>
            </w:r>
          </w:p>
        </w:tc>
        <w:tc>
          <w:tcPr>
            <w:tcW w:w="2835" w:type="dxa"/>
            <w:vAlign w:val="center"/>
          </w:tcPr>
          <w:p>
            <w:pPr>
              <w:pStyle w:val="14"/>
            </w:pPr>
            <w:r>
              <w:t>6.95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小标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20"/>
  <w:drawingGridVerticalSpacing w:val="163"/>
  <w:displayHorizontalDrawingGridEvery w:val="1"/>
  <w:displayVerticalDrawingGridEvery w:val="1"/>
  <w:noPunctuationKerning w:val="1"/>
  <w:compat>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6B8420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Arial"/>
      <w:sz w:val="24"/>
      <w:szCs w:val="24"/>
      <w:lang w:val="en-US" w:eastAsia="uk-UA" w:bidi="ar-SA"/>
    </w:rPr>
  </w:style>
  <w:style w:type="paragraph" w:styleId="2">
    <w:name w:val="heading 1"/>
    <w:basedOn w:val="1"/>
    <w:next w:val="1"/>
    <w:link w:val="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8"/>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9"/>
    <w:qFormat/>
    <w:uiPriority w:val="0"/>
    <w:pPr>
      <w:keepNext/>
      <w:keepLines/>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uiPriority w:val="0"/>
    <w:tblPr>
      <w:tblCellMar>
        <w:top w:w="0" w:type="dxa"/>
        <w:left w:w="108" w:type="dxa"/>
        <w:bottom w:w="0" w:type="dxa"/>
        <w:right w:w="108" w:type="dxa"/>
      </w:tblCellMar>
    </w:tblPr>
  </w:style>
  <w:style w:type="character" w:customStyle="1" w:styleId="7">
    <w:name w:val="heading 1 Char"/>
    <w:basedOn w:val="6"/>
    <w:link w:val="2"/>
    <w:uiPriority w:val="0"/>
    <w:rPr>
      <w:rFonts w:ascii="Times New Roman" w:hAnsi="Times New Roman"/>
      <w:b/>
      <w:bCs/>
      <w:kern w:val="44"/>
      <w:sz w:val="44"/>
      <w:szCs w:val="44"/>
      <w:lang w:val="en-US" w:eastAsia="uk-UA" w:bidi="ar-SA"/>
    </w:rPr>
  </w:style>
  <w:style w:type="character" w:customStyle="1" w:styleId="8">
    <w:name w:val="heading 2 Char"/>
    <w:basedOn w:val="6"/>
    <w:link w:val="3"/>
    <w:uiPriority w:val="0"/>
    <w:rPr>
      <w:rFonts w:ascii="Times New Roman" w:hAnsi="Times New Roman" w:eastAsia="黑体"/>
      <w:b/>
      <w:bCs/>
      <w:sz w:val="32"/>
      <w:szCs w:val="32"/>
      <w:lang w:val="en-US" w:eastAsia="uk-UA" w:bidi="ar-SA"/>
    </w:rPr>
  </w:style>
  <w:style w:type="character" w:customStyle="1" w:styleId="9">
    <w:name w:val="heading 3 Char"/>
    <w:basedOn w:val="6"/>
    <w:link w:val="4"/>
    <w:uiPriority w:val="0"/>
    <w:rPr>
      <w:rFonts w:ascii="Times New Roman" w:hAnsi="Times New Roman"/>
      <w:b/>
      <w:bCs/>
      <w:sz w:val="32"/>
      <w:szCs w:val="32"/>
      <w:lang w:val="en-US" w:eastAsia="uk-UA" w:bidi="ar-SA"/>
    </w:r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qFormat/>
    <w:uiPriority w:val="0"/>
    <w:pPr>
      <w:spacing w:before="0" w:after="0"/>
      <w:ind w:firstLine="0"/>
      <w:jc w:val="right"/>
      <w:outlineLvl w:val="9"/>
    </w:pPr>
    <w:rPr>
      <w:rFonts w:ascii="方正书宋_GBK" w:hAnsi="方正书宋_GBK" w:eastAsia="方正书宋_GBK" w:cs="方正书宋_GBK"/>
      <w:sz w:val="24"/>
      <w:lang w:val="en-US" w:eastAsia="zh-CN" w:bidi="ar-SA"/>
    </w:rPr>
  </w:style>
  <w:style w:type="paragraph" w:customStyle="1" w:styleId="28">
    <w:name w:val="TOC 2"/>
    <w:basedOn w:val="1"/>
    <w:qFormat/>
    <w:uiPriority w:val="0"/>
    <w:pPr>
      <w:ind w:left="240"/>
    </w:pPr>
  </w:style>
  <w:style w:type="paragraph" w:customStyle="1" w:styleId="29">
    <w:name w:val="TOC 3"/>
    <w:basedOn w:val="1"/>
    <w:qFormat/>
    <w:uiPriority w:val="0"/>
    <w:pPr>
      <w:ind w:left="480"/>
    </w:pPr>
  </w:style>
  <w:style w:type="paragraph" w:customStyle="1" w:styleId="30">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2.xml><?xml version="1.0" encoding="utf-8"?>
<customData xmlns="http://www.yozosoft.com.cn/officeDocument/2016/customData">
  <customProps>
    <docPr revisions="3 0 5 0 0 0 1 0 0 0 26645 1 1 1 1 1"/>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4ABB0B-8774-4FAB-A4AA-924C66E46836}">
  <ds:schemaRefs/>
</ds:datastoreItem>
</file>

<file path=docProps/app.xml><?xml version="1.0" encoding="utf-8"?>
<Properties xmlns="http://schemas.openxmlformats.org/officeDocument/2006/extended-properties" xmlns:vt="http://schemas.openxmlformats.org/officeDocument/2006/docPropsVTypes">
  <Template>Normal.eit</Template>
  <Pages>24</Pages>
  <Words>0</Words>
  <Characters>7882</Characters>
  <Lines>0</Lines>
  <Paragraphs>138</Paragraphs>
  <TotalTime>3</TotalTime>
  <ScaleCrop>false</ScaleCrop>
  <LinksUpToDate>false</LinksUpToDate>
  <CharactersWithSpaces>10510</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2026-01-30T11:47:00Z</dcterms:created>
  <dc:creator>Administrator</dc:creator>
  <cp:lastModifiedBy>Administrator</cp:lastModifiedBy>
  <dcterms:modified xsi:type="dcterms:W3CDTF">2026-02-03T07:12:12Z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D38E0E0FD68E4A66AE093220A5372720</vt:lpwstr>
  </property>
</Properties>
</file>