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824昌黎县两山乡人民政府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2675.18</w:t>
            </w:r>
          </w:p>
        </w:tc>
        <w:tc>
          <w:tcPr>
            <w:tcW w:w="4535" w:type="dxa"/>
            <w:vAlign w:val="center"/>
          </w:tcPr>
          <w:p>
            <w:pPr>
              <w:pStyle w:val="13"/>
            </w:pPr>
            <w:r>
              <w:t>一、一般公共服务支出</w:t>
            </w:r>
          </w:p>
        </w:tc>
        <w:tc>
          <w:tcPr>
            <w:tcW w:w="2126" w:type="dxa"/>
            <w:vAlign w:val="center"/>
          </w:tcPr>
          <w:p>
            <w:pPr>
              <w:pStyle w:val="12"/>
            </w:pPr>
            <w:r>
              <w:t>1492.89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253.89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101.97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366.77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456.91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2675.18</w:t>
            </w:r>
          </w:p>
        </w:tc>
        <w:tc>
          <w:tcPr>
            <w:tcW w:w="4535" w:type="dxa"/>
            <w:vAlign w:val="center"/>
          </w:tcPr>
          <w:p>
            <w:pPr>
              <w:pStyle w:val="15"/>
            </w:pPr>
            <w:r>
              <w:t>本年支出合计</w:t>
            </w:r>
          </w:p>
        </w:tc>
        <w:tc>
          <w:tcPr>
            <w:tcW w:w="2126" w:type="dxa"/>
            <w:vAlign w:val="center"/>
          </w:tcPr>
          <w:p>
            <w:pPr>
              <w:pStyle w:val="16"/>
            </w:pPr>
            <w:r>
              <w:t>2844.23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169.05</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2844.23</w:t>
            </w:r>
          </w:p>
        </w:tc>
        <w:tc>
          <w:tcPr>
            <w:tcW w:w="4535" w:type="dxa"/>
            <w:vAlign w:val="center"/>
          </w:tcPr>
          <w:p>
            <w:pPr>
              <w:pStyle w:val="15"/>
            </w:pPr>
            <w:r>
              <w:t>支出总计</w:t>
            </w:r>
          </w:p>
        </w:tc>
        <w:tc>
          <w:tcPr>
            <w:tcW w:w="2126" w:type="dxa"/>
            <w:vAlign w:val="center"/>
          </w:tcPr>
          <w:p>
            <w:pPr>
              <w:pStyle w:val="16"/>
            </w:pPr>
            <w:r>
              <w:t>2844.23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824昌黎县两山乡人民政府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2844.23</w:t>
            </w:r>
          </w:p>
        </w:tc>
        <w:tc>
          <w:tcPr>
            <w:tcW w:w="1134" w:type="dxa"/>
            <w:vAlign w:val="center"/>
          </w:tcPr>
          <w:p>
            <w:pPr>
              <w:pStyle w:val="16"/>
            </w:pPr>
            <w:r>
              <w:t>2675.18</w:t>
            </w:r>
          </w:p>
        </w:tc>
        <w:tc>
          <w:tcPr>
            <w:tcW w:w="1134" w:type="dxa"/>
            <w:vAlign w:val="center"/>
          </w:tcPr>
          <w:p>
            <w:pPr>
              <w:pStyle w:val="16"/>
            </w:pPr>
            <w:r>
              <w:t>2675.18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169.05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1492.89</w:t>
            </w:r>
          </w:p>
        </w:tc>
        <w:tc>
          <w:tcPr>
            <w:tcW w:w="1134" w:type="dxa"/>
            <w:vAlign w:val="center"/>
          </w:tcPr>
          <w:p>
            <w:pPr>
              <w:pStyle w:val="12"/>
            </w:pPr>
            <w:r>
              <w:t>1492.89</w:t>
            </w:r>
          </w:p>
        </w:tc>
        <w:tc>
          <w:tcPr>
            <w:tcW w:w="1134" w:type="dxa"/>
            <w:vAlign w:val="center"/>
          </w:tcPr>
          <w:p>
            <w:pPr>
              <w:pStyle w:val="12"/>
            </w:pPr>
            <w:r>
              <w:t>1492.89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t>代表工作</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1466.13</w:t>
            </w:r>
          </w:p>
        </w:tc>
        <w:tc>
          <w:tcPr>
            <w:tcW w:w="1134" w:type="dxa"/>
            <w:vAlign w:val="center"/>
          </w:tcPr>
          <w:p>
            <w:pPr>
              <w:pStyle w:val="12"/>
            </w:pPr>
            <w:r>
              <w:t>1466.13</w:t>
            </w:r>
          </w:p>
        </w:tc>
        <w:tc>
          <w:tcPr>
            <w:tcW w:w="1134" w:type="dxa"/>
            <w:vAlign w:val="center"/>
          </w:tcPr>
          <w:p>
            <w:pPr>
              <w:pStyle w:val="12"/>
            </w:pPr>
            <w:r>
              <w:t>1466.13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338.96</w:t>
            </w:r>
          </w:p>
        </w:tc>
        <w:tc>
          <w:tcPr>
            <w:tcW w:w="1134" w:type="dxa"/>
            <w:vAlign w:val="center"/>
          </w:tcPr>
          <w:p>
            <w:pPr>
              <w:pStyle w:val="12"/>
            </w:pPr>
            <w:r>
              <w:t>338.96</w:t>
            </w:r>
          </w:p>
        </w:tc>
        <w:tc>
          <w:tcPr>
            <w:tcW w:w="1134" w:type="dxa"/>
            <w:vAlign w:val="center"/>
          </w:tcPr>
          <w:p>
            <w:pPr>
              <w:pStyle w:val="12"/>
            </w:pPr>
            <w:r>
              <w:t>338.96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1125.17</w:t>
            </w:r>
          </w:p>
        </w:tc>
        <w:tc>
          <w:tcPr>
            <w:tcW w:w="1134" w:type="dxa"/>
            <w:vAlign w:val="center"/>
          </w:tcPr>
          <w:p>
            <w:pPr>
              <w:pStyle w:val="12"/>
            </w:pPr>
            <w:r>
              <w:t>1125.17</w:t>
            </w:r>
          </w:p>
        </w:tc>
        <w:tc>
          <w:tcPr>
            <w:tcW w:w="1134" w:type="dxa"/>
            <w:vAlign w:val="center"/>
          </w:tcPr>
          <w:p>
            <w:pPr>
              <w:pStyle w:val="12"/>
            </w:pPr>
            <w:r>
              <w:t>1125.17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16.76</w:t>
            </w:r>
          </w:p>
        </w:tc>
        <w:tc>
          <w:tcPr>
            <w:tcW w:w="1134" w:type="dxa"/>
            <w:vAlign w:val="center"/>
          </w:tcPr>
          <w:p>
            <w:pPr>
              <w:pStyle w:val="12"/>
            </w:pPr>
            <w:r>
              <w:t>16.76</w:t>
            </w:r>
          </w:p>
        </w:tc>
        <w:tc>
          <w:tcPr>
            <w:tcW w:w="1134" w:type="dxa"/>
            <w:vAlign w:val="center"/>
          </w:tcPr>
          <w:p>
            <w:pPr>
              <w:pStyle w:val="12"/>
            </w:pPr>
            <w:r>
              <w:t>16.76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16.76</w:t>
            </w:r>
          </w:p>
        </w:tc>
        <w:tc>
          <w:tcPr>
            <w:tcW w:w="1134" w:type="dxa"/>
            <w:vAlign w:val="center"/>
          </w:tcPr>
          <w:p>
            <w:pPr>
              <w:pStyle w:val="12"/>
            </w:pPr>
            <w:r>
              <w:t>16.76</w:t>
            </w:r>
          </w:p>
        </w:tc>
        <w:tc>
          <w:tcPr>
            <w:tcW w:w="1134" w:type="dxa"/>
            <w:vAlign w:val="center"/>
          </w:tcPr>
          <w:p>
            <w:pPr>
              <w:pStyle w:val="12"/>
            </w:pPr>
            <w:r>
              <w:t>16.76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253.89</w:t>
            </w:r>
          </w:p>
        </w:tc>
        <w:tc>
          <w:tcPr>
            <w:tcW w:w="1134" w:type="dxa"/>
            <w:vAlign w:val="center"/>
          </w:tcPr>
          <w:p>
            <w:pPr>
              <w:pStyle w:val="12"/>
            </w:pPr>
            <w:r>
              <w:t>253.89</w:t>
            </w:r>
          </w:p>
        </w:tc>
        <w:tc>
          <w:tcPr>
            <w:tcW w:w="1134" w:type="dxa"/>
            <w:vAlign w:val="center"/>
          </w:tcPr>
          <w:p>
            <w:pPr>
              <w:pStyle w:val="12"/>
            </w:pPr>
            <w:r>
              <w:t>253.89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253.89</w:t>
            </w:r>
          </w:p>
        </w:tc>
        <w:tc>
          <w:tcPr>
            <w:tcW w:w="1134" w:type="dxa"/>
            <w:vAlign w:val="center"/>
          </w:tcPr>
          <w:p>
            <w:pPr>
              <w:pStyle w:val="12"/>
            </w:pPr>
            <w:r>
              <w:t>253.89</w:t>
            </w:r>
          </w:p>
        </w:tc>
        <w:tc>
          <w:tcPr>
            <w:tcW w:w="1134" w:type="dxa"/>
            <w:vAlign w:val="center"/>
          </w:tcPr>
          <w:p>
            <w:pPr>
              <w:pStyle w:val="12"/>
            </w:pPr>
            <w:r>
              <w:t>253.89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192.42</w:t>
            </w:r>
          </w:p>
        </w:tc>
        <w:tc>
          <w:tcPr>
            <w:tcW w:w="1134" w:type="dxa"/>
            <w:vAlign w:val="center"/>
          </w:tcPr>
          <w:p>
            <w:pPr>
              <w:pStyle w:val="12"/>
            </w:pPr>
            <w:r>
              <w:t>192.42</w:t>
            </w:r>
          </w:p>
        </w:tc>
        <w:tc>
          <w:tcPr>
            <w:tcW w:w="1134" w:type="dxa"/>
            <w:vAlign w:val="center"/>
          </w:tcPr>
          <w:p>
            <w:pPr>
              <w:pStyle w:val="12"/>
            </w:pPr>
            <w:r>
              <w:t>192.42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61.47</w:t>
            </w:r>
          </w:p>
        </w:tc>
        <w:tc>
          <w:tcPr>
            <w:tcW w:w="1134" w:type="dxa"/>
            <w:vAlign w:val="center"/>
          </w:tcPr>
          <w:p>
            <w:pPr>
              <w:pStyle w:val="12"/>
            </w:pPr>
            <w:r>
              <w:t>61.47</w:t>
            </w:r>
          </w:p>
        </w:tc>
        <w:tc>
          <w:tcPr>
            <w:tcW w:w="1134" w:type="dxa"/>
            <w:vAlign w:val="center"/>
          </w:tcPr>
          <w:p>
            <w:pPr>
              <w:pStyle w:val="12"/>
            </w:pPr>
            <w:r>
              <w:t>61.47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101.97</w:t>
            </w:r>
          </w:p>
        </w:tc>
        <w:tc>
          <w:tcPr>
            <w:tcW w:w="1134" w:type="dxa"/>
            <w:vAlign w:val="center"/>
          </w:tcPr>
          <w:p>
            <w:pPr>
              <w:pStyle w:val="12"/>
            </w:pPr>
            <w:r>
              <w:t>101.97</w:t>
            </w:r>
          </w:p>
        </w:tc>
        <w:tc>
          <w:tcPr>
            <w:tcW w:w="1134" w:type="dxa"/>
            <w:vAlign w:val="center"/>
          </w:tcPr>
          <w:p>
            <w:pPr>
              <w:pStyle w:val="12"/>
            </w:pPr>
            <w:r>
              <w:t>101.97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11.36</w:t>
            </w:r>
          </w:p>
        </w:tc>
        <w:tc>
          <w:tcPr>
            <w:tcW w:w="1134" w:type="dxa"/>
            <w:vAlign w:val="center"/>
          </w:tcPr>
          <w:p>
            <w:pPr>
              <w:pStyle w:val="12"/>
            </w:pPr>
            <w:r>
              <w:t>11.36</w:t>
            </w:r>
          </w:p>
        </w:tc>
        <w:tc>
          <w:tcPr>
            <w:tcW w:w="1134" w:type="dxa"/>
            <w:vAlign w:val="center"/>
          </w:tcPr>
          <w:p>
            <w:pPr>
              <w:pStyle w:val="12"/>
            </w:pPr>
            <w:r>
              <w:t>11.36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2100799</w:t>
            </w:r>
          </w:p>
        </w:tc>
        <w:tc>
          <w:tcPr>
            <w:tcW w:w="1559" w:type="dxa"/>
            <w:vAlign w:val="center"/>
          </w:tcPr>
          <w:p>
            <w:pPr>
              <w:pStyle w:val="13"/>
            </w:pPr>
            <w:r>
              <w:t>其他计划生育事务支出</w:t>
            </w:r>
          </w:p>
        </w:tc>
        <w:tc>
          <w:tcPr>
            <w:tcW w:w="1134" w:type="dxa"/>
            <w:vAlign w:val="center"/>
          </w:tcPr>
          <w:p>
            <w:pPr>
              <w:pStyle w:val="12"/>
            </w:pPr>
            <w:r>
              <w:t>11.36</w:t>
            </w:r>
          </w:p>
        </w:tc>
        <w:tc>
          <w:tcPr>
            <w:tcW w:w="1134" w:type="dxa"/>
            <w:vAlign w:val="center"/>
          </w:tcPr>
          <w:p>
            <w:pPr>
              <w:pStyle w:val="12"/>
            </w:pPr>
            <w:r>
              <w:t>11.36</w:t>
            </w:r>
          </w:p>
        </w:tc>
        <w:tc>
          <w:tcPr>
            <w:tcW w:w="1134" w:type="dxa"/>
            <w:vAlign w:val="center"/>
          </w:tcPr>
          <w:p>
            <w:pPr>
              <w:pStyle w:val="12"/>
            </w:pPr>
            <w:r>
              <w:t>11.36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90.61</w:t>
            </w:r>
          </w:p>
        </w:tc>
        <w:tc>
          <w:tcPr>
            <w:tcW w:w="1134" w:type="dxa"/>
            <w:vAlign w:val="center"/>
          </w:tcPr>
          <w:p>
            <w:pPr>
              <w:pStyle w:val="12"/>
            </w:pPr>
            <w:r>
              <w:t>90.61</w:t>
            </w:r>
          </w:p>
        </w:tc>
        <w:tc>
          <w:tcPr>
            <w:tcW w:w="1134" w:type="dxa"/>
            <w:vAlign w:val="center"/>
          </w:tcPr>
          <w:p>
            <w:pPr>
              <w:pStyle w:val="12"/>
            </w:pPr>
            <w:r>
              <w:t>90.61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14.02</w:t>
            </w:r>
          </w:p>
        </w:tc>
        <w:tc>
          <w:tcPr>
            <w:tcW w:w="1134" w:type="dxa"/>
            <w:vAlign w:val="center"/>
          </w:tcPr>
          <w:p>
            <w:pPr>
              <w:pStyle w:val="12"/>
            </w:pPr>
            <w:r>
              <w:t>14.02</w:t>
            </w:r>
          </w:p>
        </w:tc>
        <w:tc>
          <w:tcPr>
            <w:tcW w:w="1134" w:type="dxa"/>
            <w:vAlign w:val="center"/>
          </w:tcPr>
          <w:p>
            <w:pPr>
              <w:pStyle w:val="12"/>
            </w:pPr>
            <w:r>
              <w:t>14.02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76.59</w:t>
            </w:r>
          </w:p>
        </w:tc>
        <w:tc>
          <w:tcPr>
            <w:tcW w:w="1134" w:type="dxa"/>
            <w:vAlign w:val="center"/>
          </w:tcPr>
          <w:p>
            <w:pPr>
              <w:pStyle w:val="12"/>
            </w:pPr>
            <w:r>
              <w:t>76.59</w:t>
            </w:r>
          </w:p>
        </w:tc>
        <w:tc>
          <w:tcPr>
            <w:tcW w:w="1134" w:type="dxa"/>
            <w:vAlign w:val="center"/>
          </w:tcPr>
          <w:p>
            <w:pPr>
              <w:pStyle w:val="12"/>
            </w:pPr>
            <w:r>
              <w:t>76.59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366.77</w:t>
            </w:r>
          </w:p>
        </w:tc>
        <w:tc>
          <w:tcPr>
            <w:tcW w:w="1134" w:type="dxa"/>
            <w:vAlign w:val="center"/>
          </w:tcPr>
          <w:p>
            <w:pPr>
              <w:pStyle w:val="12"/>
            </w:pPr>
            <w:r>
              <w:t>366.77</w:t>
            </w:r>
          </w:p>
        </w:tc>
        <w:tc>
          <w:tcPr>
            <w:tcW w:w="1134" w:type="dxa"/>
            <w:vAlign w:val="center"/>
          </w:tcPr>
          <w:p>
            <w:pPr>
              <w:pStyle w:val="12"/>
            </w:pPr>
            <w:r>
              <w:t>366.77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166.77</w:t>
            </w:r>
          </w:p>
        </w:tc>
        <w:tc>
          <w:tcPr>
            <w:tcW w:w="1134" w:type="dxa"/>
            <w:vAlign w:val="center"/>
          </w:tcPr>
          <w:p>
            <w:pPr>
              <w:pStyle w:val="12"/>
            </w:pPr>
            <w:r>
              <w:t>166.77</w:t>
            </w:r>
          </w:p>
        </w:tc>
        <w:tc>
          <w:tcPr>
            <w:tcW w:w="1134" w:type="dxa"/>
            <w:vAlign w:val="center"/>
          </w:tcPr>
          <w:p>
            <w:pPr>
              <w:pStyle w:val="12"/>
            </w:pPr>
            <w:r>
              <w:t>166.77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166.77</w:t>
            </w:r>
          </w:p>
        </w:tc>
        <w:tc>
          <w:tcPr>
            <w:tcW w:w="1134" w:type="dxa"/>
            <w:vAlign w:val="center"/>
          </w:tcPr>
          <w:p>
            <w:pPr>
              <w:pStyle w:val="12"/>
            </w:pPr>
            <w:r>
              <w:t>166.77</w:t>
            </w:r>
          </w:p>
        </w:tc>
        <w:tc>
          <w:tcPr>
            <w:tcW w:w="1134" w:type="dxa"/>
            <w:vAlign w:val="center"/>
          </w:tcPr>
          <w:p>
            <w:pPr>
              <w:pStyle w:val="12"/>
            </w:pPr>
            <w:r>
              <w:t>166.77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2110402</w:t>
            </w:r>
          </w:p>
        </w:tc>
        <w:tc>
          <w:tcPr>
            <w:tcW w:w="1559" w:type="dxa"/>
            <w:vAlign w:val="center"/>
          </w:tcPr>
          <w:p>
            <w:pPr>
              <w:pStyle w:val="13"/>
            </w:pPr>
            <w:r>
              <w:t>农村环境保护</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456.91</w:t>
            </w:r>
          </w:p>
        </w:tc>
        <w:tc>
          <w:tcPr>
            <w:tcW w:w="1134" w:type="dxa"/>
            <w:vAlign w:val="center"/>
          </w:tcPr>
          <w:p>
            <w:pPr>
              <w:pStyle w:val="12"/>
            </w:pPr>
            <w:r>
              <w:t>356.86</w:t>
            </w:r>
          </w:p>
        </w:tc>
        <w:tc>
          <w:tcPr>
            <w:tcW w:w="1134" w:type="dxa"/>
            <w:vAlign w:val="center"/>
          </w:tcPr>
          <w:p>
            <w:pPr>
              <w:pStyle w:val="12"/>
            </w:pPr>
            <w:r>
              <w:t>356.86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100.05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2130142</w:t>
            </w:r>
          </w:p>
        </w:tc>
        <w:tc>
          <w:tcPr>
            <w:tcW w:w="1559" w:type="dxa"/>
            <w:vAlign w:val="center"/>
          </w:tcPr>
          <w:p>
            <w:pPr>
              <w:pStyle w:val="13"/>
            </w:pPr>
            <w:r>
              <w:t>乡村道路建设</w:t>
            </w:r>
          </w:p>
        </w:tc>
        <w:tc>
          <w:tcPr>
            <w:tcW w:w="1134" w:type="dxa"/>
            <w:vAlign w:val="center"/>
          </w:tcPr>
          <w:p>
            <w:pPr>
              <w:pStyle w:val="12"/>
            </w:pPr>
            <w:r>
              <w:t>100.05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356.86</w:t>
            </w:r>
          </w:p>
        </w:tc>
        <w:tc>
          <w:tcPr>
            <w:tcW w:w="1134" w:type="dxa"/>
            <w:vAlign w:val="center"/>
          </w:tcPr>
          <w:p>
            <w:pPr>
              <w:pStyle w:val="12"/>
            </w:pPr>
            <w:r>
              <w:t>356.86</w:t>
            </w:r>
          </w:p>
        </w:tc>
        <w:tc>
          <w:tcPr>
            <w:tcW w:w="1134" w:type="dxa"/>
            <w:vAlign w:val="center"/>
          </w:tcPr>
          <w:p>
            <w:pPr>
              <w:pStyle w:val="12"/>
            </w:pPr>
            <w:r>
              <w:t>356.86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356.86</w:t>
            </w:r>
          </w:p>
        </w:tc>
        <w:tc>
          <w:tcPr>
            <w:tcW w:w="1134" w:type="dxa"/>
            <w:vAlign w:val="center"/>
          </w:tcPr>
          <w:p>
            <w:pPr>
              <w:pStyle w:val="12"/>
            </w:pPr>
            <w:r>
              <w:t>356.86</w:t>
            </w:r>
          </w:p>
        </w:tc>
        <w:tc>
          <w:tcPr>
            <w:tcW w:w="1134" w:type="dxa"/>
            <w:vAlign w:val="center"/>
          </w:tcPr>
          <w:p>
            <w:pPr>
              <w:pStyle w:val="12"/>
            </w:pPr>
            <w:r>
              <w:t>356.86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1.59</w:t>
            </w:r>
          </w:p>
        </w:tc>
        <w:tc>
          <w:tcPr>
            <w:tcW w:w="1134" w:type="dxa"/>
            <w:vAlign w:val="center"/>
          </w:tcPr>
          <w:p>
            <w:pPr>
              <w:pStyle w:val="12"/>
            </w:pPr>
            <w:r>
              <w:t>1.59</w:t>
            </w:r>
          </w:p>
        </w:tc>
        <w:tc>
          <w:tcPr>
            <w:tcW w:w="1134" w:type="dxa"/>
            <w:vAlign w:val="center"/>
          </w:tcPr>
          <w:p>
            <w:pPr>
              <w:pStyle w:val="12"/>
            </w:pPr>
            <w:r>
              <w:t>1.59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1.59</w:t>
            </w:r>
          </w:p>
        </w:tc>
        <w:tc>
          <w:tcPr>
            <w:tcW w:w="1134" w:type="dxa"/>
            <w:vAlign w:val="center"/>
          </w:tcPr>
          <w:p>
            <w:pPr>
              <w:pStyle w:val="12"/>
            </w:pPr>
            <w:r>
              <w:t>1.59</w:t>
            </w:r>
          </w:p>
        </w:tc>
        <w:tc>
          <w:tcPr>
            <w:tcW w:w="1134" w:type="dxa"/>
            <w:vAlign w:val="center"/>
          </w:tcPr>
          <w:p>
            <w:pPr>
              <w:pStyle w:val="12"/>
            </w:pPr>
            <w:r>
              <w:t>1.59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1.59</w:t>
            </w:r>
          </w:p>
        </w:tc>
        <w:tc>
          <w:tcPr>
            <w:tcW w:w="1134" w:type="dxa"/>
            <w:vAlign w:val="center"/>
          </w:tcPr>
          <w:p>
            <w:pPr>
              <w:pStyle w:val="12"/>
            </w:pPr>
            <w:r>
              <w:t>1.59</w:t>
            </w:r>
          </w:p>
        </w:tc>
        <w:tc>
          <w:tcPr>
            <w:tcW w:w="1134" w:type="dxa"/>
            <w:vAlign w:val="center"/>
          </w:tcPr>
          <w:p>
            <w:pPr>
              <w:pStyle w:val="12"/>
            </w:pPr>
            <w:r>
              <w:t>1.59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96.21</w:t>
            </w:r>
          </w:p>
        </w:tc>
        <w:tc>
          <w:tcPr>
            <w:tcW w:w="1134" w:type="dxa"/>
            <w:vAlign w:val="center"/>
          </w:tcPr>
          <w:p>
            <w:pPr>
              <w:pStyle w:val="12"/>
            </w:pPr>
            <w:r>
              <w:t>96.21</w:t>
            </w:r>
          </w:p>
        </w:tc>
        <w:tc>
          <w:tcPr>
            <w:tcW w:w="1134" w:type="dxa"/>
            <w:vAlign w:val="center"/>
          </w:tcPr>
          <w:p>
            <w:pPr>
              <w:pStyle w:val="12"/>
            </w:pPr>
            <w:r>
              <w:t>96.21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96.21</w:t>
            </w:r>
          </w:p>
        </w:tc>
        <w:tc>
          <w:tcPr>
            <w:tcW w:w="1134" w:type="dxa"/>
            <w:vAlign w:val="center"/>
          </w:tcPr>
          <w:p>
            <w:pPr>
              <w:pStyle w:val="12"/>
            </w:pPr>
            <w:r>
              <w:t>96.21</w:t>
            </w:r>
          </w:p>
        </w:tc>
        <w:tc>
          <w:tcPr>
            <w:tcW w:w="1134" w:type="dxa"/>
            <w:vAlign w:val="center"/>
          </w:tcPr>
          <w:p>
            <w:pPr>
              <w:pStyle w:val="12"/>
            </w:pPr>
            <w:r>
              <w:t>96.21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96.21</w:t>
            </w:r>
          </w:p>
        </w:tc>
        <w:tc>
          <w:tcPr>
            <w:tcW w:w="1134" w:type="dxa"/>
            <w:vAlign w:val="center"/>
          </w:tcPr>
          <w:p>
            <w:pPr>
              <w:pStyle w:val="12"/>
            </w:pPr>
            <w:r>
              <w:t>96.21</w:t>
            </w:r>
          </w:p>
        </w:tc>
        <w:tc>
          <w:tcPr>
            <w:tcW w:w="1134" w:type="dxa"/>
            <w:vAlign w:val="center"/>
          </w:tcPr>
          <w:p>
            <w:pPr>
              <w:pStyle w:val="12"/>
            </w:pPr>
            <w:r>
              <w:t>96.21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69.00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69.00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69.00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69.00</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824昌黎县两山乡人民政府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2844.23</w:t>
            </w:r>
          </w:p>
        </w:tc>
        <w:tc>
          <w:tcPr>
            <w:tcW w:w="1361" w:type="dxa"/>
            <w:vAlign w:val="center"/>
          </w:tcPr>
          <w:p>
            <w:pPr>
              <w:pStyle w:val="16"/>
            </w:pPr>
            <w:r>
              <w:t>1916.21</w:t>
            </w:r>
          </w:p>
        </w:tc>
        <w:tc>
          <w:tcPr>
            <w:tcW w:w="1361" w:type="dxa"/>
            <w:vAlign w:val="center"/>
          </w:tcPr>
          <w:p>
            <w:pPr>
              <w:pStyle w:val="16"/>
            </w:pPr>
            <w:r>
              <w:t>928.03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1492.89</w:t>
            </w:r>
          </w:p>
        </w:tc>
        <w:tc>
          <w:tcPr>
            <w:tcW w:w="1361" w:type="dxa"/>
            <w:vAlign w:val="center"/>
          </w:tcPr>
          <w:p>
            <w:pPr>
              <w:pStyle w:val="12"/>
            </w:pPr>
            <w:r>
              <w:t>1464.13</w:t>
            </w:r>
          </w:p>
        </w:tc>
        <w:tc>
          <w:tcPr>
            <w:tcW w:w="1361" w:type="dxa"/>
            <w:vAlign w:val="center"/>
          </w:tcPr>
          <w:p>
            <w:pPr>
              <w:pStyle w:val="12"/>
            </w:pPr>
            <w:r>
              <w:t>28.76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t>代表工作</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1466.13</w:t>
            </w:r>
          </w:p>
        </w:tc>
        <w:tc>
          <w:tcPr>
            <w:tcW w:w="1361" w:type="dxa"/>
            <w:vAlign w:val="center"/>
          </w:tcPr>
          <w:p>
            <w:pPr>
              <w:pStyle w:val="12"/>
            </w:pPr>
            <w:r>
              <w:t>1464.13</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338.96</w:t>
            </w:r>
          </w:p>
        </w:tc>
        <w:tc>
          <w:tcPr>
            <w:tcW w:w="1361" w:type="dxa"/>
            <w:vAlign w:val="center"/>
          </w:tcPr>
          <w:p>
            <w:pPr>
              <w:pStyle w:val="12"/>
            </w:pPr>
            <w:r>
              <w:t>338.96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1125.17</w:t>
            </w:r>
          </w:p>
        </w:tc>
        <w:tc>
          <w:tcPr>
            <w:tcW w:w="1361" w:type="dxa"/>
            <w:vAlign w:val="center"/>
          </w:tcPr>
          <w:p>
            <w:pPr>
              <w:pStyle w:val="12"/>
            </w:pPr>
            <w:r>
              <w:t>1125.17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2013299</w:t>
            </w:r>
          </w:p>
        </w:tc>
        <w:tc>
          <w:tcPr>
            <w:tcW w:w="4535" w:type="dxa"/>
            <w:vAlign w:val="center"/>
          </w:tcPr>
          <w:p>
            <w:pPr>
              <w:pStyle w:val="13"/>
            </w:pPr>
            <w:r>
              <w:t>其他组织事务支出</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16.76</w:t>
            </w:r>
          </w:p>
        </w:tc>
        <w:tc>
          <w:tcPr>
            <w:tcW w:w="1361" w:type="dxa"/>
            <w:vAlign w:val="center"/>
          </w:tcPr>
          <w:p>
            <w:pPr>
              <w:pStyle w:val="12"/>
            </w:pPr>
          </w:p>
        </w:tc>
        <w:tc>
          <w:tcPr>
            <w:tcW w:w="1361" w:type="dxa"/>
            <w:vAlign w:val="center"/>
          </w:tcPr>
          <w:p>
            <w:pPr>
              <w:pStyle w:val="12"/>
            </w:pPr>
            <w:r>
              <w:t>16.76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16.76</w:t>
            </w:r>
          </w:p>
        </w:tc>
        <w:tc>
          <w:tcPr>
            <w:tcW w:w="1361" w:type="dxa"/>
            <w:vAlign w:val="center"/>
          </w:tcPr>
          <w:p>
            <w:pPr>
              <w:pStyle w:val="12"/>
            </w:pPr>
          </w:p>
        </w:tc>
        <w:tc>
          <w:tcPr>
            <w:tcW w:w="1361" w:type="dxa"/>
            <w:vAlign w:val="center"/>
          </w:tcPr>
          <w:p>
            <w:pPr>
              <w:pStyle w:val="12"/>
            </w:pPr>
            <w:r>
              <w:t>16.76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253.89</w:t>
            </w:r>
          </w:p>
        </w:tc>
        <w:tc>
          <w:tcPr>
            <w:tcW w:w="1361" w:type="dxa"/>
            <w:vAlign w:val="center"/>
          </w:tcPr>
          <w:p>
            <w:pPr>
              <w:pStyle w:val="12"/>
            </w:pPr>
            <w:r>
              <w:t>253.89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253.89</w:t>
            </w:r>
          </w:p>
        </w:tc>
        <w:tc>
          <w:tcPr>
            <w:tcW w:w="1361" w:type="dxa"/>
            <w:vAlign w:val="center"/>
          </w:tcPr>
          <w:p>
            <w:pPr>
              <w:pStyle w:val="12"/>
            </w:pPr>
            <w:r>
              <w:t>253.89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192.42</w:t>
            </w:r>
          </w:p>
        </w:tc>
        <w:tc>
          <w:tcPr>
            <w:tcW w:w="1361" w:type="dxa"/>
            <w:vAlign w:val="center"/>
          </w:tcPr>
          <w:p>
            <w:pPr>
              <w:pStyle w:val="12"/>
            </w:pPr>
            <w:r>
              <w:t>192.42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61.47</w:t>
            </w:r>
          </w:p>
        </w:tc>
        <w:tc>
          <w:tcPr>
            <w:tcW w:w="1361" w:type="dxa"/>
            <w:vAlign w:val="center"/>
          </w:tcPr>
          <w:p>
            <w:pPr>
              <w:pStyle w:val="12"/>
            </w:pPr>
            <w:r>
              <w:t>61.47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101.97</w:t>
            </w:r>
          </w:p>
        </w:tc>
        <w:tc>
          <w:tcPr>
            <w:tcW w:w="1361" w:type="dxa"/>
            <w:vAlign w:val="center"/>
          </w:tcPr>
          <w:p>
            <w:pPr>
              <w:pStyle w:val="12"/>
            </w:pPr>
            <w:r>
              <w:t>101.97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11.36</w:t>
            </w:r>
          </w:p>
        </w:tc>
        <w:tc>
          <w:tcPr>
            <w:tcW w:w="1361" w:type="dxa"/>
            <w:vAlign w:val="center"/>
          </w:tcPr>
          <w:p>
            <w:pPr>
              <w:pStyle w:val="12"/>
            </w:pPr>
            <w:r>
              <w:t>11.36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2100799</w:t>
            </w:r>
          </w:p>
        </w:tc>
        <w:tc>
          <w:tcPr>
            <w:tcW w:w="4535" w:type="dxa"/>
            <w:vAlign w:val="center"/>
          </w:tcPr>
          <w:p>
            <w:pPr>
              <w:pStyle w:val="13"/>
            </w:pPr>
            <w:r>
              <w:t>其他计划生育事务支出</w:t>
            </w:r>
          </w:p>
        </w:tc>
        <w:tc>
          <w:tcPr>
            <w:tcW w:w="1361" w:type="dxa"/>
            <w:vAlign w:val="center"/>
          </w:tcPr>
          <w:p>
            <w:pPr>
              <w:pStyle w:val="12"/>
            </w:pPr>
            <w:r>
              <w:t>11.36</w:t>
            </w:r>
          </w:p>
        </w:tc>
        <w:tc>
          <w:tcPr>
            <w:tcW w:w="1361" w:type="dxa"/>
            <w:vAlign w:val="center"/>
          </w:tcPr>
          <w:p>
            <w:pPr>
              <w:pStyle w:val="12"/>
            </w:pPr>
            <w:r>
              <w:t>11.36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90.61</w:t>
            </w:r>
          </w:p>
        </w:tc>
        <w:tc>
          <w:tcPr>
            <w:tcW w:w="1361" w:type="dxa"/>
            <w:vAlign w:val="center"/>
          </w:tcPr>
          <w:p>
            <w:pPr>
              <w:pStyle w:val="12"/>
            </w:pPr>
            <w:r>
              <w:t>90.61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14.02</w:t>
            </w:r>
          </w:p>
        </w:tc>
        <w:tc>
          <w:tcPr>
            <w:tcW w:w="1361" w:type="dxa"/>
            <w:vAlign w:val="center"/>
          </w:tcPr>
          <w:p>
            <w:pPr>
              <w:pStyle w:val="12"/>
            </w:pPr>
            <w:r>
              <w:t>14.02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76.59</w:t>
            </w:r>
          </w:p>
        </w:tc>
        <w:tc>
          <w:tcPr>
            <w:tcW w:w="1361" w:type="dxa"/>
            <w:vAlign w:val="center"/>
          </w:tcPr>
          <w:p>
            <w:pPr>
              <w:pStyle w:val="12"/>
            </w:pPr>
            <w:r>
              <w:t>76.59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366.77</w:t>
            </w:r>
          </w:p>
        </w:tc>
        <w:tc>
          <w:tcPr>
            <w:tcW w:w="1361" w:type="dxa"/>
            <w:vAlign w:val="center"/>
          </w:tcPr>
          <w:p>
            <w:pPr>
              <w:pStyle w:val="12"/>
            </w:pPr>
          </w:p>
        </w:tc>
        <w:tc>
          <w:tcPr>
            <w:tcW w:w="1361" w:type="dxa"/>
            <w:vAlign w:val="center"/>
          </w:tcPr>
          <w:p>
            <w:pPr>
              <w:pStyle w:val="12"/>
            </w:pPr>
            <w:r>
              <w:t>366.77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166.77</w:t>
            </w:r>
          </w:p>
        </w:tc>
        <w:tc>
          <w:tcPr>
            <w:tcW w:w="1361" w:type="dxa"/>
            <w:vAlign w:val="center"/>
          </w:tcPr>
          <w:p>
            <w:pPr>
              <w:pStyle w:val="12"/>
            </w:pPr>
          </w:p>
        </w:tc>
        <w:tc>
          <w:tcPr>
            <w:tcW w:w="1361" w:type="dxa"/>
            <w:vAlign w:val="center"/>
          </w:tcPr>
          <w:p>
            <w:pPr>
              <w:pStyle w:val="12"/>
            </w:pPr>
            <w:r>
              <w:t>166.77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166.77</w:t>
            </w:r>
          </w:p>
        </w:tc>
        <w:tc>
          <w:tcPr>
            <w:tcW w:w="1361" w:type="dxa"/>
            <w:vAlign w:val="center"/>
          </w:tcPr>
          <w:p>
            <w:pPr>
              <w:pStyle w:val="12"/>
            </w:pPr>
          </w:p>
        </w:tc>
        <w:tc>
          <w:tcPr>
            <w:tcW w:w="1361" w:type="dxa"/>
            <w:vAlign w:val="center"/>
          </w:tcPr>
          <w:p>
            <w:pPr>
              <w:pStyle w:val="12"/>
            </w:pPr>
            <w:r>
              <w:t>166.77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2110402</w:t>
            </w:r>
          </w:p>
        </w:tc>
        <w:tc>
          <w:tcPr>
            <w:tcW w:w="4535" w:type="dxa"/>
            <w:vAlign w:val="center"/>
          </w:tcPr>
          <w:p>
            <w:pPr>
              <w:pStyle w:val="13"/>
            </w:pPr>
            <w:r>
              <w:t>农村环境保护</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456.91</w:t>
            </w:r>
          </w:p>
        </w:tc>
        <w:tc>
          <w:tcPr>
            <w:tcW w:w="1361" w:type="dxa"/>
            <w:vAlign w:val="center"/>
          </w:tcPr>
          <w:p>
            <w:pPr>
              <w:pStyle w:val="12"/>
            </w:pPr>
          </w:p>
        </w:tc>
        <w:tc>
          <w:tcPr>
            <w:tcW w:w="1361" w:type="dxa"/>
            <w:vAlign w:val="center"/>
          </w:tcPr>
          <w:p>
            <w:pPr>
              <w:pStyle w:val="12"/>
            </w:pPr>
            <w:r>
              <w:t>456.91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100.05</w:t>
            </w:r>
          </w:p>
        </w:tc>
        <w:tc>
          <w:tcPr>
            <w:tcW w:w="1361" w:type="dxa"/>
            <w:vAlign w:val="center"/>
          </w:tcPr>
          <w:p>
            <w:pPr>
              <w:pStyle w:val="12"/>
            </w:pPr>
          </w:p>
        </w:tc>
        <w:tc>
          <w:tcPr>
            <w:tcW w:w="1361" w:type="dxa"/>
            <w:vAlign w:val="center"/>
          </w:tcPr>
          <w:p>
            <w:pPr>
              <w:pStyle w:val="12"/>
            </w:pPr>
            <w:r>
              <w:t>100.05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2130142</w:t>
            </w:r>
          </w:p>
        </w:tc>
        <w:tc>
          <w:tcPr>
            <w:tcW w:w="4535" w:type="dxa"/>
            <w:vAlign w:val="center"/>
          </w:tcPr>
          <w:p>
            <w:pPr>
              <w:pStyle w:val="13"/>
            </w:pPr>
            <w:r>
              <w:t>乡村道路建设</w:t>
            </w:r>
          </w:p>
        </w:tc>
        <w:tc>
          <w:tcPr>
            <w:tcW w:w="1361" w:type="dxa"/>
            <w:vAlign w:val="center"/>
          </w:tcPr>
          <w:p>
            <w:pPr>
              <w:pStyle w:val="12"/>
            </w:pPr>
            <w:r>
              <w:t>100.05</w:t>
            </w:r>
          </w:p>
        </w:tc>
        <w:tc>
          <w:tcPr>
            <w:tcW w:w="1361" w:type="dxa"/>
            <w:vAlign w:val="center"/>
          </w:tcPr>
          <w:p>
            <w:pPr>
              <w:pStyle w:val="12"/>
            </w:pPr>
          </w:p>
        </w:tc>
        <w:tc>
          <w:tcPr>
            <w:tcW w:w="1361" w:type="dxa"/>
            <w:vAlign w:val="center"/>
          </w:tcPr>
          <w:p>
            <w:pPr>
              <w:pStyle w:val="12"/>
            </w:pPr>
            <w:r>
              <w:t>100.05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356.86</w:t>
            </w:r>
          </w:p>
        </w:tc>
        <w:tc>
          <w:tcPr>
            <w:tcW w:w="1361" w:type="dxa"/>
            <w:vAlign w:val="center"/>
          </w:tcPr>
          <w:p>
            <w:pPr>
              <w:pStyle w:val="12"/>
            </w:pPr>
          </w:p>
        </w:tc>
        <w:tc>
          <w:tcPr>
            <w:tcW w:w="1361" w:type="dxa"/>
            <w:vAlign w:val="center"/>
          </w:tcPr>
          <w:p>
            <w:pPr>
              <w:pStyle w:val="12"/>
            </w:pPr>
            <w:r>
              <w:t>356.86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356.86</w:t>
            </w:r>
          </w:p>
        </w:tc>
        <w:tc>
          <w:tcPr>
            <w:tcW w:w="1361" w:type="dxa"/>
            <w:vAlign w:val="center"/>
          </w:tcPr>
          <w:p>
            <w:pPr>
              <w:pStyle w:val="12"/>
            </w:pPr>
          </w:p>
        </w:tc>
        <w:tc>
          <w:tcPr>
            <w:tcW w:w="1361" w:type="dxa"/>
            <w:vAlign w:val="center"/>
          </w:tcPr>
          <w:p>
            <w:pPr>
              <w:pStyle w:val="12"/>
            </w:pPr>
            <w:r>
              <w:t>356.86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1.59</w:t>
            </w:r>
          </w:p>
        </w:tc>
        <w:tc>
          <w:tcPr>
            <w:tcW w:w="1361" w:type="dxa"/>
            <w:vAlign w:val="center"/>
          </w:tcPr>
          <w:p>
            <w:pPr>
              <w:pStyle w:val="12"/>
            </w:pPr>
          </w:p>
        </w:tc>
        <w:tc>
          <w:tcPr>
            <w:tcW w:w="1361" w:type="dxa"/>
            <w:vAlign w:val="center"/>
          </w:tcPr>
          <w:p>
            <w:pPr>
              <w:pStyle w:val="12"/>
            </w:pPr>
            <w:r>
              <w:t>1.59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1.59</w:t>
            </w:r>
          </w:p>
        </w:tc>
        <w:tc>
          <w:tcPr>
            <w:tcW w:w="1361" w:type="dxa"/>
            <w:vAlign w:val="center"/>
          </w:tcPr>
          <w:p>
            <w:pPr>
              <w:pStyle w:val="12"/>
            </w:pPr>
          </w:p>
        </w:tc>
        <w:tc>
          <w:tcPr>
            <w:tcW w:w="1361" w:type="dxa"/>
            <w:vAlign w:val="center"/>
          </w:tcPr>
          <w:p>
            <w:pPr>
              <w:pStyle w:val="12"/>
            </w:pPr>
            <w:r>
              <w:t>1.59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1.59</w:t>
            </w:r>
          </w:p>
        </w:tc>
        <w:tc>
          <w:tcPr>
            <w:tcW w:w="1361" w:type="dxa"/>
            <w:vAlign w:val="center"/>
          </w:tcPr>
          <w:p>
            <w:pPr>
              <w:pStyle w:val="12"/>
            </w:pPr>
          </w:p>
        </w:tc>
        <w:tc>
          <w:tcPr>
            <w:tcW w:w="1361" w:type="dxa"/>
            <w:vAlign w:val="center"/>
          </w:tcPr>
          <w:p>
            <w:pPr>
              <w:pStyle w:val="12"/>
            </w:pPr>
            <w:r>
              <w:t>1.59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96.21</w:t>
            </w:r>
          </w:p>
        </w:tc>
        <w:tc>
          <w:tcPr>
            <w:tcW w:w="1361" w:type="dxa"/>
            <w:vAlign w:val="center"/>
          </w:tcPr>
          <w:p>
            <w:pPr>
              <w:pStyle w:val="12"/>
            </w:pPr>
            <w:r>
              <w:t>96.21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96.21</w:t>
            </w:r>
          </w:p>
        </w:tc>
        <w:tc>
          <w:tcPr>
            <w:tcW w:w="1361" w:type="dxa"/>
            <w:vAlign w:val="center"/>
          </w:tcPr>
          <w:p>
            <w:pPr>
              <w:pStyle w:val="12"/>
            </w:pPr>
            <w:r>
              <w:t>96.21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96.21</w:t>
            </w:r>
          </w:p>
        </w:tc>
        <w:tc>
          <w:tcPr>
            <w:tcW w:w="1361" w:type="dxa"/>
            <w:vAlign w:val="center"/>
          </w:tcPr>
          <w:p>
            <w:pPr>
              <w:pStyle w:val="12"/>
            </w:pPr>
            <w:r>
              <w:t>96.21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69.00</w:t>
            </w:r>
          </w:p>
        </w:tc>
        <w:tc>
          <w:tcPr>
            <w:tcW w:w="1361" w:type="dxa"/>
            <w:vAlign w:val="center"/>
          </w:tcPr>
          <w:p>
            <w:pPr>
              <w:pStyle w:val="12"/>
            </w:pPr>
          </w:p>
        </w:tc>
        <w:tc>
          <w:tcPr>
            <w:tcW w:w="1361" w:type="dxa"/>
            <w:vAlign w:val="center"/>
          </w:tcPr>
          <w:p>
            <w:pPr>
              <w:pStyle w:val="12"/>
            </w:pPr>
            <w:r>
              <w:t>69.00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69.00</w:t>
            </w:r>
          </w:p>
        </w:tc>
        <w:tc>
          <w:tcPr>
            <w:tcW w:w="1361" w:type="dxa"/>
            <w:vAlign w:val="center"/>
          </w:tcPr>
          <w:p>
            <w:pPr>
              <w:pStyle w:val="12"/>
            </w:pPr>
          </w:p>
        </w:tc>
        <w:tc>
          <w:tcPr>
            <w:tcW w:w="1361" w:type="dxa"/>
            <w:vAlign w:val="center"/>
          </w:tcPr>
          <w:p>
            <w:pPr>
              <w:pStyle w:val="12"/>
            </w:pPr>
            <w:r>
              <w:t>69.00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69.00</w:t>
            </w:r>
          </w:p>
        </w:tc>
        <w:tc>
          <w:tcPr>
            <w:tcW w:w="1361" w:type="dxa"/>
            <w:vAlign w:val="center"/>
          </w:tcPr>
          <w:p>
            <w:pPr>
              <w:pStyle w:val="12"/>
            </w:pPr>
          </w:p>
        </w:tc>
        <w:tc>
          <w:tcPr>
            <w:tcW w:w="1361" w:type="dxa"/>
            <w:vAlign w:val="center"/>
          </w:tcPr>
          <w:p>
            <w:pPr>
              <w:pStyle w:val="12"/>
            </w:pPr>
            <w:r>
              <w:t>69.00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824昌黎县两山乡人民政府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2675.18</w:t>
            </w:r>
          </w:p>
        </w:tc>
        <w:tc>
          <w:tcPr>
            <w:tcW w:w="3402" w:type="dxa"/>
            <w:vAlign w:val="center"/>
          </w:tcPr>
          <w:p>
            <w:pPr>
              <w:pStyle w:val="13"/>
            </w:pPr>
            <w:r>
              <w:t>一、一般公共服务支出</w:t>
            </w:r>
          </w:p>
        </w:tc>
        <w:tc>
          <w:tcPr>
            <w:tcW w:w="1474" w:type="dxa"/>
            <w:vAlign w:val="center"/>
          </w:tcPr>
          <w:p>
            <w:pPr>
              <w:pStyle w:val="12"/>
            </w:pPr>
            <w:r>
              <w:t>1492.89</w:t>
            </w:r>
          </w:p>
        </w:tc>
        <w:tc>
          <w:tcPr>
            <w:tcW w:w="1474" w:type="dxa"/>
            <w:vAlign w:val="center"/>
          </w:tcPr>
          <w:p>
            <w:pPr>
              <w:pStyle w:val="12"/>
            </w:pPr>
            <w:r>
              <w:t>1492.89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253.89</w:t>
            </w:r>
          </w:p>
        </w:tc>
        <w:tc>
          <w:tcPr>
            <w:tcW w:w="1474" w:type="dxa"/>
            <w:vAlign w:val="center"/>
          </w:tcPr>
          <w:p>
            <w:pPr>
              <w:pStyle w:val="12"/>
            </w:pPr>
            <w:r>
              <w:t>253.89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101.97</w:t>
            </w:r>
          </w:p>
        </w:tc>
        <w:tc>
          <w:tcPr>
            <w:tcW w:w="1474" w:type="dxa"/>
            <w:vAlign w:val="center"/>
          </w:tcPr>
          <w:p>
            <w:pPr>
              <w:pStyle w:val="12"/>
            </w:pPr>
            <w:r>
              <w:t>101.97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366.77</w:t>
            </w:r>
          </w:p>
        </w:tc>
        <w:tc>
          <w:tcPr>
            <w:tcW w:w="1474" w:type="dxa"/>
            <w:vAlign w:val="center"/>
          </w:tcPr>
          <w:p>
            <w:pPr>
              <w:pStyle w:val="12"/>
            </w:pPr>
            <w:r>
              <w:t>366.77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456.91</w:t>
            </w:r>
          </w:p>
        </w:tc>
        <w:tc>
          <w:tcPr>
            <w:tcW w:w="1474" w:type="dxa"/>
            <w:vAlign w:val="center"/>
          </w:tcPr>
          <w:p>
            <w:pPr>
              <w:pStyle w:val="12"/>
            </w:pPr>
            <w:r>
              <w:t>456.91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1.59</w:t>
            </w:r>
          </w:p>
        </w:tc>
        <w:tc>
          <w:tcPr>
            <w:tcW w:w="1474" w:type="dxa"/>
            <w:vAlign w:val="center"/>
          </w:tcPr>
          <w:p>
            <w:pPr>
              <w:pStyle w:val="12"/>
            </w:pPr>
            <w:r>
              <w:t>1.59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96.21</w:t>
            </w:r>
          </w:p>
        </w:tc>
        <w:tc>
          <w:tcPr>
            <w:tcW w:w="1474" w:type="dxa"/>
            <w:vAlign w:val="center"/>
          </w:tcPr>
          <w:p>
            <w:pPr>
              <w:pStyle w:val="12"/>
            </w:pPr>
            <w:r>
              <w:t>96.21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69.00</w:t>
            </w:r>
          </w:p>
        </w:tc>
        <w:tc>
          <w:tcPr>
            <w:tcW w:w="1474" w:type="dxa"/>
            <w:vAlign w:val="center"/>
          </w:tcPr>
          <w:p>
            <w:pPr>
              <w:pStyle w:val="12"/>
            </w:pPr>
          </w:p>
        </w:tc>
        <w:tc>
          <w:tcPr>
            <w:tcW w:w="1474" w:type="dxa"/>
            <w:vAlign w:val="center"/>
          </w:tcPr>
          <w:p>
            <w:pPr>
              <w:pStyle w:val="12"/>
            </w:pPr>
            <w:r>
              <w:t>69.00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2675.18</w:t>
            </w:r>
          </w:p>
        </w:tc>
        <w:tc>
          <w:tcPr>
            <w:tcW w:w="3402" w:type="dxa"/>
            <w:vAlign w:val="center"/>
          </w:tcPr>
          <w:p>
            <w:pPr>
              <w:pStyle w:val="15"/>
            </w:pPr>
            <w:r>
              <w:t>本年支出合计</w:t>
            </w:r>
          </w:p>
        </w:tc>
        <w:tc>
          <w:tcPr>
            <w:tcW w:w="1474" w:type="dxa"/>
            <w:vAlign w:val="center"/>
          </w:tcPr>
          <w:p>
            <w:pPr>
              <w:pStyle w:val="16"/>
            </w:pPr>
            <w:r>
              <w:t>2844.23</w:t>
            </w:r>
          </w:p>
        </w:tc>
        <w:tc>
          <w:tcPr>
            <w:tcW w:w="1474" w:type="dxa"/>
            <w:vAlign w:val="center"/>
          </w:tcPr>
          <w:p>
            <w:pPr>
              <w:pStyle w:val="16"/>
            </w:pPr>
            <w:r>
              <w:t>2775.23</w:t>
            </w:r>
          </w:p>
        </w:tc>
        <w:tc>
          <w:tcPr>
            <w:tcW w:w="1474" w:type="dxa"/>
            <w:vAlign w:val="center"/>
          </w:tcPr>
          <w:p>
            <w:pPr>
              <w:pStyle w:val="16"/>
            </w:pPr>
            <w:r>
              <w:t>69.00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169.05</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100.05</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69.00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2844.23</w:t>
            </w:r>
          </w:p>
        </w:tc>
        <w:tc>
          <w:tcPr>
            <w:tcW w:w="3402" w:type="dxa"/>
            <w:vAlign w:val="center"/>
          </w:tcPr>
          <w:p>
            <w:pPr>
              <w:pStyle w:val="15"/>
            </w:pPr>
            <w:r>
              <w:t>支出总计</w:t>
            </w:r>
          </w:p>
        </w:tc>
        <w:tc>
          <w:tcPr>
            <w:tcW w:w="1474" w:type="dxa"/>
            <w:vAlign w:val="center"/>
          </w:tcPr>
          <w:p>
            <w:pPr>
              <w:pStyle w:val="16"/>
            </w:pPr>
            <w:r>
              <w:t>2844.23</w:t>
            </w:r>
          </w:p>
        </w:tc>
        <w:tc>
          <w:tcPr>
            <w:tcW w:w="1474" w:type="dxa"/>
            <w:vAlign w:val="center"/>
          </w:tcPr>
          <w:p>
            <w:pPr>
              <w:pStyle w:val="16"/>
            </w:pPr>
            <w:r>
              <w:t>2775.23</w:t>
            </w:r>
          </w:p>
        </w:tc>
        <w:tc>
          <w:tcPr>
            <w:tcW w:w="1474" w:type="dxa"/>
            <w:vAlign w:val="center"/>
          </w:tcPr>
          <w:p>
            <w:pPr>
              <w:pStyle w:val="16"/>
            </w:pPr>
            <w:r>
              <w:t>69.00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824昌黎县两山乡人民政府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2775.23</w:t>
            </w:r>
          </w:p>
        </w:tc>
        <w:tc>
          <w:tcPr>
            <w:tcW w:w="2551" w:type="dxa"/>
            <w:vAlign w:val="center"/>
          </w:tcPr>
          <w:p>
            <w:pPr>
              <w:pStyle w:val="16"/>
            </w:pPr>
            <w:r>
              <w:t>1916.21</w:t>
            </w:r>
          </w:p>
        </w:tc>
        <w:tc>
          <w:tcPr>
            <w:tcW w:w="2551" w:type="dxa"/>
            <w:vAlign w:val="center"/>
          </w:tcPr>
          <w:p>
            <w:pPr>
              <w:pStyle w:val="16"/>
            </w:pPr>
            <w:r>
              <w:t>859.03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1492.89</w:t>
            </w:r>
          </w:p>
        </w:tc>
        <w:tc>
          <w:tcPr>
            <w:tcW w:w="2551" w:type="dxa"/>
            <w:vAlign w:val="center"/>
          </w:tcPr>
          <w:p>
            <w:pPr>
              <w:pStyle w:val="12"/>
            </w:pPr>
            <w:r>
              <w:t>1464.13</w:t>
            </w:r>
          </w:p>
        </w:tc>
        <w:tc>
          <w:tcPr>
            <w:tcW w:w="2551" w:type="dxa"/>
            <w:vAlign w:val="center"/>
          </w:tcPr>
          <w:p>
            <w:pPr>
              <w:pStyle w:val="12"/>
            </w:pPr>
            <w:r>
              <w:t>28.76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t>代表工作</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1466.13</w:t>
            </w:r>
          </w:p>
        </w:tc>
        <w:tc>
          <w:tcPr>
            <w:tcW w:w="2551" w:type="dxa"/>
            <w:vAlign w:val="center"/>
          </w:tcPr>
          <w:p>
            <w:pPr>
              <w:pStyle w:val="12"/>
            </w:pPr>
            <w:r>
              <w:t>1464.13</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338.96</w:t>
            </w:r>
          </w:p>
        </w:tc>
        <w:tc>
          <w:tcPr>
            <w:tcW w:w="2551" w:type="dxa"/>
            <w:vAlign w:val="center"/>
          </w:tcPr>
          <w:p>
            <w:pPr>
              <w:pStyle w:val="12"/>
            </w:pPr>
            <w:r>
              <w:t>338.96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1125.17</w:t>
            </w:r>
          </w:p>
        </w:tc>
        <w:tc>
          <w:tcPr>
            <w:tcW w:w="2551" w:type="dxa"/>
            <w:vAlign w:val="center"/>
          </w:tcPr>
          <w:p>
            <w:pPr>
              <w:pStyle w:val="12"/>
            </w:pPr>
            <w:r>
              <w:t>1125.17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16.76</w:t>
            </w:r>
          </w:p>
        </w:tc>
        <w:tc>
          <w:tcPr>
            <w:tcW w:w="2551" w:type="dxa"/>
            <w:vAlign w:val="center"/>
          </w:tcPr>
          <w:p>
            <w:pPr>
              <w:pStyle w:val="12"/>
            </w:pPr>
          </w:p>
        </w:tc>
        <w:tc>
          <w:tcPr>
            <w:tcW w:w="2551" w:type="dxa"/>
            <w:vAlign w:val="center"/>
          </w:tcPr>
          <w:p>
            <w:pPr>
              <w:pStyle w:val="12"/>
            </w:pPr>
            <w:r>
              <w:t>16.76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16.76</w:t>
            </w:r>
          </w:p>
        </w:tc>
        <w:tc>
          <w:tcPr>
            <w:tcW w:w="2551" w:type="dxa"/>
            <w:vAlign w:val="center"/>
          </w:tcPr>
          <w:p>
            <w:pPr>
              <w:pStyle w:val="12"/>
            </w:pPr>
          </w:p>
        </w:tc>
        <w:tc>
          <w:tcPr>
            <w:tcW w:w="2551" w:type="dxa"/>
            <w:vAlign w:val="center"/>
          </w:tcPr>
          <w:p>
            <w:pPr>
              <w:pStyle w:val="12"/>
            </w:pPr>
            <w:r>
              <w:t>16.76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253.89</w:t>
            </w:r>
          </w:p>
        </w:tc>
        <w:tc>
          <w:tcPr>
            <w:tcW w:w="2551" w:type="dxa"/>
            <w:vAlign w:val="center"/>
          </w:tcPr>
          <w:p>
            <w:pPr>
              <w:pStyle w:val="12"/>
            </w:pPr>
            <w:r>
              <w:t>253.89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253.89</w:t>
            </w:r>
          </w:p>
        </w:tc>
        <w:tc>
          <w:tcPr>
            <w:tcW w:w="2551" w:type="dxa"/>
            <w:vAlign w:val="center"/>
          </w:tcPr>
          <w:p>
            <w:pPr>
              <w:pStyle w:val="12"/>
            </w:pPr>
            <w:r>
              <w:t>253.89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192.42</w:t>
            </w:r>
          </w:p>
        </w:tc>
        <w:tc>
          <w:tcPr>
            <w:tcW w:w="2551" w:type="dxa"/>
            <w:vAlign w:val="center"/>
          </w:tcPr>
          <w:p>
            <w:pPr>
              <w:pStyle w:val="12"/>
            </w:pPr>
            <w:r>
              <w:t>192.42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61.47</w:t>
            </w:r>
          </w:p>
        </w:tc>
        <w:tc>
          <w:tcPr>
            <w:tcW w:w="2551" w:type="dxa"/>
            <w:vAlign w:val="center"/>
          </w:tcPr>
          <w:p>
            <w:pPr>
              <w:pStyle w:val="12"/>
            </w:pPr>
            <w:r>
              <w:t>61.47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101.97</w:t>
            </w:r>
          </w:p>
        </w:tc>
        <w:tc>
          <w:tcPr>
            <w:tcW w:w="2551" w:type="dxa"/>
            <w:vAlign w:val="center"/>
          </w:tcPr>
          <w:p>
            <w:pPr>
              <w:pStyle w:val="12"/>
            </w:pPr>
            <w:r>
              <w:t>101.97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11.36</w:t>
            </w:r>
          </w:p>
        </w:tc>
        <w:tc>
          <w:tcPr>
            <w:tcW w:w="2551" w:type="dxa"/>
            <w:vAlign w:val="center"/>
          </w:tcPr>
          <w:p>
            <w:pPr>
              <w:pStyle w:val="12"/>
            </w:pPr>
            <w:r>
              <w:t>11.36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2100799</w:t>
            </w:r>
          </w:p>
        </w:tc>
        <w:tc>
          <w:tcPr>
            <w:tcW w:w="4535" w:type="dxa"/>
            <w:vAlign w:val="center"/>
          </w:tcPr>
          <w:p>
            <w:pPr>
              <w:pStyle w:val="13"/>
            </w:pPr>
            <w:r>
              <w:t>其他计划生育事务支出</w:t>
            </w:r>
          </w:p>
        </w:tc>
        <w:tc>
          <w:tcPr>
            <w:tcW w:w="2551" w:type="dxa"/>
            <w:vAlign w:val="center"/>
          </w:tcPr>
          <w:p>
            <w:pPr>
              <w:pStyle w:val="12"/>
            </w:pPr>
            <w:r>
              <w:t>11.36</w:t>
            </w:r>
          </w:p>
        </w:tc>
        <w:tc>
          <w:tcPr>
            <w:tcW w:w="2551" w:type="dxa"/>
            <w:vAlign w:val="center"/>
          </w:tcPr>
          <w:p>
            <w:pPr>
              <w:pStyle w:val="12"/>
            </w:pPr>
            <w:r>
              <w:t>11.36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90.61</w:t>
            </w:r>
          </w:p>
        </w:tc>
        <w:tc>
          <w:tcPr>
            <w:tcW w:w="2551" w:type="dxa"/>
            <w:vAlign w:val="center"/>
          </w:tcPr>
          <w:p>
            <w:pPr>
              <w:pStyle w:val="12"/>
            </w:pPr>
            <w:r>
              <w:t>90.61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14.02</w:t>
            </w:r>
          </w:p>
        </w:tc>
        <w:tc>
          <w:tcPr>
            <w:tcW w:w="2551" w:type="dxa"/>
            <w:vAlign w:val="center"/>
          </w:tcPr>
          <w:p>
            <w:pPr>
              <w:pStyle w:val="12"/>
            </w:pPr>
            <w:r>
              <w:t>14.02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76.59</w:t>
            </w:r>
          </w:p>
        </w:tc>
        <w:tc>
          <w:tcPr>
            <w:tcW w:w="2551" w:type="dxa"/>
            <w:vAlign w:val="center"/>
          </w:tcPr>
          <w:p>
            <w:pPr>
              <w:pStyle w:val="12"/>
            </w:pPr>
            <w:r>
              <w:t>76.59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366.77</w:t>
            </w:r>
          </w:p>
        </w:tc>
        <w:tc>
          <w:tcPr>
            <w:tcW w:w="2551" w:type="dxa"/>
            <w:vAlign w:val="center"/>
          </w:tcPr>
          <w:p>
            <w:pPr>
              <w:pStyle w:val="12"/>
            </w:pPr>
          </w:p>
        </w:tc>
        <w:tc>
          <w:tcPr>
            <w:tcW w:w="2551" w:type="dxa"/>
            <w:vAlign w:val="center"/>
          </w:tcPr>
          <w:p>
            <w:pPr>
              <w:pStyle w:val="12"/>
            </w:pPr>
            <w:r>
              <w:t>366.77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166.77</w:t>
            </w:r>
          </w:p>
        </w:tc>
        <w:tc>
          <w:tcPr>
            <w:tcW w:w="2551" w:type="dxa"/>
            <w:vAlign w:val="center"/>
          </w:tcPr>
          <w:p>
            <w:pPr>
              <w:pStyle w:val="12"/>
            </w:pPr>
          </w:p>
        </w:tc>
        <w:tc>
          <w:tcPr>
            <w:tcW w:w="2551" w:type="dxa"/>
            <w:vAlign w:val="center"/>
          </w:tcPr>
          <w:p>
            <w:pPr>
              <w:pStyle w:val="12"/>
            </w:pPr>
            <w:r>
              <w:t>166.77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166.77</w:t>
            </w:r>
          </w:p>
        </w:tc>
        <w:tc>
          <w:tcPr>
            <w:tcW w:w="2551" w:type="dxa"/>
            <w:vAlign w:val="center"/>
          </w:tcPr>
          <w:p>
            <w:pPr>
              <w:pStyle w:val="12"/>
            </w:pPr>
          </w:p>
        </w:tc>
        <w:tc>
          <w:tcPr>
            <w:tcW w:w="2551" w:type="dxa"/>
            <w:vAlign w:val="center"/>
          </w:tcPr>
          <w:p>
            <w:pPr>
              <w:pStyle w:val="12"/>
            </w:pPr>
            <w:r>
              <w:t>166.77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2110402</w:t>
            </w:r>
          </w:p>
        </w:tc>
        <w:tc>
          <w:tcPr>
            <w:tcW w:w="4535" w:type="dxa"/>
            <w:vAlign w:val="center"/>
          </w:tcPr>
          <w:p>
            <w:pPr>
              <w:pStyle w:val="13"/>
            </w:pPr>
            <w:r>
              <w:t>农村环境保护</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456.91</w:t>
            </w:r>
          </w:p>
        </w:tc>
        <w:tc>
          <w:tcPr>
            <w:tcW w:w="2551" w:type="dxa"/>
            <w:vAlign w:val="center"/>
          </w:tcPr>
          <w:p>
            <w:pPr>
              <w:pStyle w:val="12"/>
            </w:pPr>
          </w:p>
        </w:tc>
        <w:tc>
          <w:tcPr>
            <w:tcW w:w="2551" w:type="dxa"/>
            <w:vAlign w:val="center"/>
          </w:tcPr>
          <w:p>
            <w:pPr>
              <w:pStyle w:val="12"/>
            </w:pPr>
            <w:r>
              <w:t>456.91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100.05</w:t>
            </w:r>
          </w:p>
        </w:tc>
        <w:tc>
          <w:tcPr>
            <w:tcW w:w="2551" w:type="dxa"/>
            <w:vAlign w:val="center"/>
          </w:tcPr>
          <w:p>
            <w:pPr>
              <w:pStyle w:val="12"/>
            </w:pPr>
          </w:p>
        </w:tc>
        <w:tc>
          <w:tcPr>
            <w:tcW w:w="2551" w:type="dxa"/>
            <w:vAlign w:val="center"/>
          </w:tcPr>
          <w:p>
            <w:pPr>
              <w:pStyle w:val="12"/>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2130142</w:t>
            </w:r>
          </w:p>
        </w:tc>
        <w:tc>
          <w:tcPr>
            <w:tcW w:w="4535" w:type="dxa"/>
            <w:vAlign w:val="center"/>
          </w:tcPr>
          <w:p>
            <w:pPr>
              <w:pStyle w:val="13"/>
            </w:pPr>
            <w:r>
              <w:t>乡村道路建设</w:t>
            </w:r>
          </w:p>
        </w:tc>
        <w:tc>
          <w:tcPr>
            <w:tcW w:w="2551" w:type="dxa"/>
            <w:vAlign w:val="center"/>
          </w:tcPr>
          <w:p>
            <w:pPr>
              <w:pStyle w:val="12"/>
            </w:pPr>
            <w:r>
              <w:t>100.05</w:t>
            </w:r>
          </w:p>
        </w:tc>
        <w:tc>
          <w:tcPr>
            <w:tcW w:w="2551" w:type="dxa"/>
            <w:vAlign w:val="center"/>
          </w:tcPr>
          <w:p>
            <w:pPr>
              <w:pStyle w:val="12"/>
            </w:pPr>
          </w:p>
        </w:tc>
        <w:tc>
          <w:tcPr>
            <w:tcW w:w="2551" w:type="dxa"/>
            <w:vAlign w:val="center"/>
          </w:tcPr>
          <w:p>
            <w:pPr>
              <w:pStyle w:val="12"/>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356.86</w:t>
            </w:r>
          </w:p>
        </w:tc>
        <w:tc>
          <w:tcPr>
            <w:tcW w:w="2551" w:type="dxa"/>
            <w:vAlign w:val="center"/>
          </w:tcPr>
          <w:p>
            <w:pPr>
              <w:pStyle w:val="12"/>
            </w:pPr>
          </w:p>
        </w:tc>
        <w:tc>
          <w:tcPr>
            <w:tcW w:w="2551" w:type="dxa"/>
            <w:vAlign w:val="center"/>
          </w:tcPr>
          <w:p>
            <w:pPr>
              <w:pStyle w:val="12"/>
            </w:pPr>
            <w:r>
              <w:t>356.86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356.86</w:t>
            </w:r>
          </w:p>
        </w:tc>
        <w:tc>
          <w:tcPr>
            <w:tcW w:w="2551" w:type="dxa"/>
            <w:vAlign w:val="center"/>
          </w:tcPr>
          <w:p>
            <w:pPr>
              <w:pStyle w:val="12"/>
            </w:pPr>
          </w:p>
        </w:tc>
        <w:tc>
          <w:tcPr>
            <w:tcW w:w="2551" w:type="dxa"/>
            <w:vAlign w:val="center"/>
          </w:tcPr>
          <w:p>
            <w:pPr>
              <w:pStyle w:val="12"/>
            </w:pPr>
            <w:r>
              <w:t>356.86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1.59</w:t>
            </w:r>
          </w:p>
        </w:tc>
        <w:tc>
          <w:tcPr>
            <w:tcW w:w="2551" w:type="dxa"/>
            <w:vAlign w:val="center"/>
          </w:tcPr>
          <w:p>
            <w:pPr>
              <w:pStyle w:val="12"/>
            </w:pPr>
          </w:p>
        </w:tc>
        <w:tc>
          <w:tcPr>
            <w:tcW w:w="2551" w:type="dxa"/>
            <w:vAlign w:val="center"/>
          </w:tcPr>
          <w:p>
            <w:pPr>
              <w:pStyle w:val="12"/>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1.59</w:t>
            </w:r>
          </w:p>
        </w:tc>
        <w:tc>
          <w:tcPr>
            <w:tcW w:w="2551" w:type="dxa"/>
            <w:vAlign w:val="center"/>
          </w:tcPr>
          <w:p>
            <w:pPr>
              <w:pStyle w:val="12"/>
            </w:pPr>
          </w:p>
        </w:tc>
        <w:tc>
          <w:tcPr>
            <w:tcW w:w="2551" w:type="dxa"/>
            <w:vAlign w:val="center"/>
          </w:tcPr>
          <w:p>
            <w:pPr>
              <w:pStyle w:val="12"/>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1.59</w:t>
            </w:r>
          </w:p>
        </w:tc>
        <w:tc>
          <w:tcPr>
            <w:tcW w:w="2551" w:type="dxa"/>
            <w:vAlign w:val="center"/>
          </w:tcPr>
          <w:p>
            <w:pPr>
              <w:pStyle w:val="12"/>
            </w:pPr>
          </w:p>
        </w:tc>
        <w:tc>
          <w:tcPr>
            <w:tcW w:w="2551" w:type="dxa"/>
            <w:vAlign w:val="center"/>
          </w:tcPr>
          <w:p>
            <w:pPr>
              <w:pStyle w:val="12"/>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96.21</w:t>
            </w:r>
          </w:p>
        </w:tc>
        <w:tc>
          <w:tcPr>
            <w:tcW w:w="2551" w:type="dxa"/>
            <w:vAlign w:val="center"/>
          </w:tcPr>
          <w:p>
            <w:pPr>
              <w:pStyle w:val="12"/>
            </w:pPr>
            <w:r>
              <w:t>96.21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96.21</w:t>
            </w:r>
          </w:p>
        </w:tc>
        <w:tc>
          <w:tcPr>
            <w:tcW w:w="2551" w:type="dxa"/>
            <w:vAlign w:val="center"/>
          </w:tcPr>
          <w:p>
            <w:pPr>
              <w:pStyle w:val="12"/>
            </w:pPr>
            <w:r>
              <w:t>96.21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96.21</w:t>
            </w:r>
          </w:p>
        </w:tc>
        <w:tc>
          <w:tcPr>
            <w:tcW w:w="2551" w:type="dxa"/>
            <w:vAlign w:val="center"/>
          </w:tcPr>
          <w:p>
            <w:pPr>
              <w:pStyle w:val="12"/>
            </w:pPr>
            <w:r>
              <w:t>96.21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824昌黎县两山乡人民政府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1916.21</w:t>
            </w:r>
          </w:p>
        </w:tc>
        <w:tc>
          <w:tcPr>
            <w:tcW w:w="2551" w:type="dxa"/>
            <w:vAlign w:val="center"/>
          </w:tcPr>
          <w:p>
            <w:pPr>
              <w:pStyle w:val="16"/>
            </w:pPr>
            <w:r>
              <w:t>1829.65</w:t>
            </w:r>
          </w:p>
        </w:tc>
        <w:tc>
          <w:tcPr>
            <w:tcW w:w="2551" w:type="dxa"/>
            <w:vAlign w:val="center"/>
          </w:tcPr>
          <w:p>
            <w:pPr>
              <w:pStyle w:val="16"/>
            </w:pPr>
            <w:r>
              <w:t>86.56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1790.58</w:t>
            </w:r>
          </w:p>
        </w:tc>
        <w:tc>
          <w:tcPr>
            <w:tcW w:w="2551" w:type="dxa"/>
            <w:vAlign w:val="center"/>
          </w:tcPr>
          <w:p>
            <w:pPr>
              <w:pStyle w:val="12"/>
            </w:pPr>
            <w:r>
              <w:t>1790.58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738.77</w:t>
            </w:r>
          </w:p>
        </w:tc>
        <w:tc>
          <w:tcPr>
            <w:tcW w:w="2551" w:type="dxa"/>
            <w:vAlign w:val="center"/>
          </w:tcPr>
          <w:p>
            <w:pPr>
              <w:pStyle w:val="12"/>
            </w:pPr>
            <w:r>
              <w:t>738.77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230.56</w:t>
            </w:r>
          </w:p>
        </w:tc>
        <w:tc>
          <w:tcPr>
            <w:tcW w:w="2551" w:type="dxa"/>
            <w:vAlign w:val="center"/>
          </w:tcPr>
          <w:p>
            <w:pPr>
              <w:pStyle w:val="12"/>
            </w:pPr>
            <w:r>
              <w:t>230.56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25.83</w:t>
            </w:r>
          </w:p>
        </w:tc>
        <w:tc>
          <w:tcPr>
            <w:tcW w:w="2551" w:type="dxa"/>
            <w:vAlign w:val="center"/>
          </w:tcPr>
          <w:p>
            <w:pPr>
              <w:pStyle w:val="12"/>
            </w:pPr>
            <w:r>
              <w:t>25.83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327.74</w:t>
            </w:r>
          </w:p>
        </w:tc>
        <w:tc>
          <w:tcPr>
            <w:tcW w:w="2551" w:type="dxa"/>
            <w:vAlign w:val="center"/>
          </w:tcPr>
          <w:p>
            <w:pPr>
              <w:pStyle w:val="12"/>
            </w:pPr>
            <w:r>
              <w:t>327.74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192.42</w:t>
            </w:r>
          </w:p>
        </w:tc>
        <w:tc>
          <w:tcPr>
            <w:tcW w:w="2551" w:type="dxa"/>
            <w:vAlign w:val="center"/>
          </w:tcPr>
          <w:p>
            <w:pPr>
              <w:pStyle w:val="12"/>
            </w:pPr>
            <w:r>
              <w:t>192.42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61.47</w:t>
            </w:r>
          </w:p>
        </w:tc>
        <w:tc>
          <w:tcPr>
            <w:tcW w:w="2551" w:type="dxa"/>
            <w:vAlign w:val="center"/>
          </w:tcPr>
          <w:p>
            <w:pPr>
              <w:pStyle w:val="12"/>
            </w:pPr>
            <w:r>
              <w:t>61.47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90.61</w:t>
            </w:r>
          </w:p>
        </w:tc>
        <w:tc>
          <w:tcPr>
            <w:tcW w:w="2551" w:type="dxa"/>
            <w:vAlign w:val="center"/>
          </w:tcPr>
          <w:p>
            <w:pPr>
              <w:pStyle w:val="12"/>
            </w:pPr>
            <w:r>
              <w:t>90.61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11.72</w:t>
            </w:r>
          </w:p>
        </w:tc>
        <w:tc>
          <w:tcPr>
            <w:tcW w:w="2551" w:type="dxa"/>
            <w:vAlign w:val="center"/>
          </w:tcPr>
          <w:p>
            <w:pPr>
              <w:pStyle w:val="12"/>
            </w:pPr>
            <w:r>
              <w:t>11.72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96.21</w:t>
            </w:r>
          </w:p>
        </w:tc>
        <w:tc>
          <w:tcPr>
            <w:tcW w:w="2551" w:type="dxa"/>
            <w:vAlign w:val="center"/>
          </w:tcPr>
          <w:p>
            <w:pPr>
              <w:pStyle w:val="12"/>
            </w:pPr>
            <w:r>
              <w:t>96.21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15.24</w:t>
            </w:r>
          </w:p>
        </w:tc>
        <w:tc>
          <w:tcPr>
            <w:tcW w:w="2551" w:type="dxa"/>
            <w:vAlign w:val="center"/>
          </w:tcPr>
          <w:p>
            <w:pPr>
              <w:pStyle w:val="12"/>
            </w:pPr>
            <w:r>
              <w:t>15.24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86.56</w:t>
            </w:r>
          </w:p>
        </w:tc>
        <w:tc>
          <w:tcPr>
            <w:tcW w:w="2551" w:type="dxa"/>
            <w:vAlign w:val="center"/>
          </w:tcPr>
          <w:p>
            <w:pPr>
              <w:pStyle w:val="12"/>
            </w:pPr>
          </w:p>
        </w:tc>
        <w:tc>
          <w:tcPr>
            <w:tcW w:w="2551" w:type="dxa"/>
            <w:vAlign w:val="center"/>
          </w:tcPr>
          <w:p>
            <w:pPr>
              <w:pStyle w:val="12"/>
            </w:pPr>
            <w:r>
              <w:t>86.56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31.94</w:t>
            </w:r>
          </w:p>
        </w:tc>
        <w:tc>
          <w:tcPr>
            <w:tcW w:w="2551" w:type="dxa"/>
            <w:vAlign w:val="center"/>
          </w:tcPr>
          <w:p>
            <w:pPr>
              <w:pStyle w:val="12"/>
            </w:pPr>
          </w:p>
        </w:tc>
        <w:tc>
          <w:tcPr>
            <w:tcW w:w="2551" w:type="dxa"/>
            <w:vAlign w:val="center"/>
          </w:tcPr>
          <w:p>
            <w:pPr>
              <w:pStyle w:val="12"/>
            </w:pPr>
            <w:r>
              <w:t>31.94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11.13</w:t>
            </w:r>
          </w:p>
        </w:tc>
        <w:tc>
          <w:tcPr>
            <w:tcW w:w="2551" w:type="dxa"/>
            <w:vAlign w:val="center"/>
          </w:tcPr>
          <w:p>
            <w:pPr>
              <w:pStyle w:val="12"/>
            </w:pPr>
          </w:p>
        </w:tc>
        <w:tc>
          <w:tcPr>
            <w:tcW w:w="2551" w:type="dxa"/>
            <w:vAlign w:val="center"/>
          </w:tcPr>
          <w:p>
            <w:pPr>
              <w:pStyle w:val="12"/>
            </w:pPr>
            <w:r>
              <w:t>11.13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4.37</w:t>
            </w:r>
          </w:p>
        </w:tc>
        <w:tc>
          <w:tcPr>
            <w:tcW w:w="2551" w:type="dxa"/>
            <w:vAlign w:val="center"/>
          </w:tcPr>
          <w:p>
            <w:pPr>
              <w:pStyle w:val="12"/>
            </w:pPr>
          </w:p>
        </w:tc>
        <w:tc>
          <w:tcPr>
            <w:tcW w:w="2551" w:type="dxa"/>
            <w:vAlign w:val="center"/>
          </w:tcPr>
          <w:p>
            <w:pPr>
              <w:pStyle w:val="12"/>
            </w:pPr>
            <w:r>
              <w:t>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28.43</w:t>
            </w:r>
          </w:p>
        </w:tc>
        <w:tc>
          <w:tcPr>
            <w:tcW w:w="2551" w:type="dxa"/>
            <w:vAlign w:val="center"/>
          </w:tcPr>
          <w:p>
            <w:pPr>
              <w:pStyle w:val="12"/>
            </w:pPr>
          </w:p>
        </w:tc>
        <w:tc>
          <w:tcPr>
            <w:tcW w:w="2551" w:type="dxa"/>
            <w:vAlign w:val="center"/>
          </w:tcPr>
          <w:p>
            <w:pPr>
              <w:pStyle w:val="12"/>
            </w:pPr>
            <w:r>
              <w:t>28.43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0.70</w:t>
            </w:r>
          </w:p>
        </w:tc>
        <w:tc>
          <w:tcPr>
            <w:tcW w:w="2551" w:type="dxa"/>
            <w:vAlign w:val="center"/>
          </w:tcPr>
          <w:p>
            <w:pPr>
              <w:pStyle w:val="12"/>
            </w:pPr>
          </w:p>
        </w:tc>
        <w:tc>
          <w:tcPr>
            <w:tcW w:w="2551"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39.07</w:t>
            </w:r>
          </w:p>
        </w:tc>
        <w:tc>
          <w:tcPr>
            <w:tcW w:w="2551" w:type="dxa"/>
            <w:vAlign w:val="center"/>
          </w:tcPr>
          <w:p>
            <w:pPr>
              <w:pStyle w:val="12"/>
            </w:pPr>
            <w:r>
              <w:t>39.07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31.19</w:t>
            </w:r>
          </w:p>
        </w:tc>
        <w:tc>
          <w:tcPr>
            <w:tcW w:w="2551" w:type="dxa"/>
            <w:vAlign w:val="center"/>
          </w:tcPr>
          <w:p>
            <w:pPr>
              <w:pStyle w:val="12"/>
            </w:pPr>
            <w:r>
              <w:t>31.19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7.88</w:t>
            </w:r>
          </w:p>
        </w:tc>
        <w:tc>
          <w:tcPr>
            <w:tcW w:w="2551" w:type="dxa"/>
            <w:vAlign w:val="center"/>
          </w:tcPr>
          <w:p>
            <w:pPr>
              <w:pStyle w:val="12"/>
            </w:pPr>
            <w:r>
              <w:t>7.88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824昌黎县两山乡人民政府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69.00</w:t>
            </w:r>
          </w:p>
        </w:tc>
        <w:tc>
          <w:tcPr>
            <w:tcW w:w="2551" w:type="dxa"/>
            <w:vAlign w:val="center"/>
          </w:tcPr>
          <w:p>
            <w:pPr>
              <w:pStyle w:val="16"/>
            </w:pPr>
          </w:p>
        </w:tc>
        <w:tc>
          <w:tcPr>
            <w:tcW w:w="2551" w:type="dxa"/>
            <w:vAlign w:val="center"/>
          </w:tcPr>
          <w:p>
            <w:pPr>
              <w:pStyle w:val="16"/>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69.00</w:t>
            </w:r>
          </w:p>
        </w:tc>
        <w:tc>
          <w:tcPr>
            <w:tcW w:w="2551" w:type="dxa"/>
            <w:vAlign w:val="center"/>
          </w:tcPr>
          <w:p>
            <w:pPr>
              <w:pStyle w:val="12"/>
            </w:pPr>
          </w:p>
        </w:tc>
        <w:tc>
          <w:tcPr>
            <w:tcW w:w="2551" w:type="dxa"/>
            <w:vAlign w:val="center"/>
          </w:tcPr>
          <w:p>
            <w:pPr>
              <w:pStyle w:val="12"/>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69.00</w:t>
            </w:r>
          </w:p>
        </w:tc>
        <w:tc>
          <w:tcPr>
            <w:tcW w:w="2551" w:type="dxa"/>
            <w:vAlign w:val="center"/>
          </w:tcPr>
          <w:p>
            <w:pPr>
              <w:pStyle w:val="12"/>
            </w:pPr>
          </w:p>
        </w:tc>
        <w:tc>
          <w:tcPr>
            <w:tcW w:w="2551" w:type="dxa"/>
            <w:vAlign w:val="center"/>
          </w:tcPr>
          <w:p>
            <w:pPr>
              <w:pStyle w:val="12"/>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69.00</w:t>
            </w:r>
          </w:p>
        </w:tc>
        <w:tc>
          <w:tcPr>
            <w:tcW w:w="2551" w:type="dxa"/>
            <w:vAlign w:val="center"/>
          </w:tcPr>
          <w:p>
            <w:pPr>
              <w:pStyle w:val="12"/>
            </w:pPr>
          </w:p>
        </w:tc>
        <w:tc>
          <w:tcPr>
            <w:tcW w:w="2551" w:type="dxa"/>
            <w:vAlign w:val="center"/>
          </w:tcPr>
          <w:p>
            <w:pPr>
              <w:pStyle w:val="12"/>
            </w:pPr>
            <w:r>
              <w:t>69.00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824昌黎县两山乡人民政府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824昌黎县两山乡人民政府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4.37</w:t>
            </w:r>
          </w:p>
        </w:tc>
        <w:tc>
          <w:tcPr>
            <w:tcW w:w="2381" w:type="dxa"/>
            <w:vAlign w:val="center"/>
          </w:tcPr>
          <w:p>
            <w:pPr>
              <w:pStyle w:val="16"/>
            </w:pPr>
            <w:r>
              <w:t>4.37</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4.37</w:t>
            </w:r>
          </w:p>
        </w:tc>
        <w:tc>
          <w:tcPr>
            <w:tcW w:w="2381" w:type="dxa"/>
            <w:vAlign w:val="center"/>
          </w:tcPr>
          <w:p>
            <w:pPr>
              <w:pStyle w:val="12"/>
            </w:pPr>
            <w:r>
              <w:t>4.37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4.37</w:t>
            </w:r>
          </w:p>
        </w:tc>
        <w:tc>
          <w:tcPr>
            <w:tcW w:w="2381" w:type="dxa"/>
            <w:vAlign w:val="center"/>
          </w:tcPr>
          <w:p>
            <w:pPr>
              <w:pStyle w:val="12"/>
            </w:pPr>
            <w:r>
              <w:t>4.37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4.37</w:t>
            </w:r>
          </w:p>
        </w:tc>
        <w:tc>
          <w:tcPr>
            <w:tcW w:w="2381" w:type="dxa"/>
            <w:vAlign w:val="center"/>
          </w:tcPr>
          <w:p>
            <w:pPr>
              <w:pStyle w:val="12"/>
            </w:pPr>
            <w:r>
              <w:t>4.37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昌黎县两山乡人民政府2026年部门预算信息公开情况说明</w:t>
      </w:r>
    </w:p>
    <w:p>
      <w:pPr>
        <w:jc w:val="center"/>
      </w:pPr>
      <w:r>
        <w:rPr>
          <w:rFonts w:ascii="方正小标宋_GBK" w:hAnsi="方正小标宋_GBK" w:eastAsia="方正小标宋_GBK" w:cs="方正小标宋_GBK"/>
          <w:color w:val="000000"/>
          <w:sz w:val="44"/>
        </w:rPr>
        <w:t>昌黎县两山乡人民政府2026年部门预算信息公开情况说明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按照《中华人民共和国预算法》、《地方预决算公开操作规程》和《关于进一步推进预算公开工作的实施意见》规定，现将昌黎县两山乡人民政府2026年部门预算公开如下：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8"/>
      </w:pPr>
      <w:r>
        <w:t>内容涉密</w:t>
      </w:r>
      <w:r>
        <w:rPr>
          <w:rFonts w:hint="eastAsia" w:asciiTheme="minorEastAsia" w:hAnsiTheme="minorEastAsia" w:eastAsiaTheme="minorEastAsia"/>
          <w:lang w:eastAsia="zh-CN"/>
        </w:rPr>
        <w:t>，</w:t>
      </w:r>
      <w:r>
        <w:t>不予公开。</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昌黎县两山乡人民政府本级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按照预算管理有关规定，目前部门预算的编制实行综合预算管理，即全部收入和支出都反映在预算中。昌黎县两山乡人民政府机关及所属事业单位的收支包含在部门预算中。</w:t>
      </w:r>
    </w:p>
    <w:p>
      <w:pPr>
        <w:pStyle w:val="19"/>
      </w:pPr>
      <w:r>
        <w:t>1、收入说明</w:t>
      </w:r>
    </w:p>
    <w:p>
      <w:pPr>
        <w:pStyle w:val="19"/>
      </w:pPr>
      <w:r>
        <w:t>反映本部门当年全部收入。2026年预算收入2844.23万元，其中：一般公共预算收入2675.18万元，基金预算收入0.00万元，国有资本经营预算收入0.00万元，财政专户核拨收入0.00万元，单位资金收入0.00万元，上年结转结余169.05万元。</w:t>
      </w:r>
    </w:p>
    <w:p>
      <w:pPr>
        <w:pStyle w:val="19"/>
      </w:pPr>
      <w:r>
        <w:t>2、支出说明</w:t>
      </w:r>
    </w:p>
    <w:p>
      <w:pPr>
        <w:pStyle w:val="19"/>
      </w:pPr>
      <w:r>
        <w:t>收支预算总表支出栏、基本支出表、项目支出表按经济分类和支出功能分类科目编制，反映昌黎县两山乡人民政府年度部门预算中支出预算的总体情况。2026年支出预算2844.23万元，其中基本支出1916.21万元，包括人员经费1829.65万元和日常公用经费86.56万元；项目支出928.03万元，主要为1125国防工役制生活补贴、环境卫生综合整治、人大代表之家工作经费、武装工作经费、信访维稳、驻村工作队经费、文化站免费开发资金、村级转移支付、村级取暖运行补贴等；预计下年使用的单位资金结余0.00万元。委托业务费共计安排150.00万元，主要用于因技术原因确需对外委托的辅助性工作和确有必要对外委托开展咨询、评审、规划等工作。</w:t>
      </w:r>
    </w:p>
    <w:p>
      <w:pPr>
        <w:pStyle w:val="19"/>
      </w:pPr>
      <w:r>
        <w:t>3、比上年增减情况</w:t>
      </w:r>
    </w:p>
    <w:p>
      <w:pPr>
        <w:pStyle w:val="19"/>
      </w:pPr>
      <w:r>
        <w:t>2026年预算收支安排2844.23万元，较2025年预算增加123.96万元，其中：基本支出增加133.16万元，主要为新进人员增加及退休、调动引起的正常人员变动。项目支出减少9.20万元，主要为减少红色美丽村庄建设。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2026年，我部门机关运行经费共计安排86.56万元，主要用于日常维修、办公用房水电费、办公用房取暖费、办公用房物业管理费等日常运行支出。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4.37万元，其中因公出国（境）费0.00万元；公务用车购置及运维费4.37万元（其中：公务用车购置费为0.00万元，公务用车运维费4.37万元)；公务接待费0.00万元。与2025年相比减少0.14万元，增减变化的主要原因是为落实习惯过紧日子要求，压减“三公”经费。</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2026年，两山乡深入贯彻落实党的二十大精神，高举中国特色社会主义伟大旗帜，坚持马克思列宁主义、毛泽东思想、邓小平理论、“三个代表”重要思想、科学发展观，全面贯彻习近平新时代中国特色社会主义思想，坚持新发展理念，加快乡村振兴步伐，努力实现综合经济实力、改革创新动力、生态环境质量、社会文明程度、人民生活水平五个方面明显提升。以项目引领助推产业升级高标准、高站位完善乡镇规划，推进两山乡设施和重点项目建设，以项目为抓手，以项目促投资，加强招商引资力度；以乡村振兴构建社会和谐扎实推进乡村振兴，巩固发展农业农村好形势,壮大蔬菜、果品、畜牧等优势特色产业；推动农业经营体系创新，抓好农民合作社、家庭农场等农村新型经营主体建设；加强农田水利建设和基本农田保护，增加农产品有效供给。发展休闲农业、乡村旅游等新产业新业态；改善农村人居环境，突出抓好垃圾污水治理、厕所革命、村容村貌提升，全面推进生态修复，大力促进经济生态协调发展；加强农村公共服务和社会事业建设；完善乡村治理机制，弘扬文明家风、良好乡风、淳朴民风；以管党治党营造风清气正政治生态,全面加强和规范党内政治生活，坚持正确的选人用人导向，大力营造担当实干的浓厚氛围，深入开展党风廉政建设和反腐败斗争，把乡村两级党组织建设得更加坚强有力。高举习近平新时代中国特色社会主义思想伟大旗帜，在县委、县政府和乡党委、乡政府的正确领导下，锐意进取，扎实工作，为加快建设经济强乡、美丽两山而努力奋斗。力争2026年财政收入增长5%，预计固定资产投资达3000万元，社会总产值50000万元，农民人均纯收入增长5%以上。</w:t>
      </w:r>
    </w:p>
    <w:p>
      <w:pPr>
        <w:pStyle w:val="22"/>
      </w:pPr>
    </w:p>
    <w:p>
      <w:pPr>
        <w:spacing w:line="500" w:lineRule="exact"/>
        <w:ind w:firstLine="560"/>
      </w:pPr>
      <w:r>
        <w:rPr>
          <w:rFonts w:eastAsia="方正仿宋_GBK"/>
          <w:color w:val="000000"/>
          <w:sz w:val="28"/>
        </w:rPr>
        <w:t>（二）分项绩效目标</w:t>
      </w:r>
    </w:p>
    <w:p>
      <w:pPr>
        <w:pStyle w:val="23"/>
      </w:pPr>
      <w:r>
        <w:t>（一）机关事务。党委、人大、政府公文运转、保密机要、会议和活动组织安排、公务用车管、食堂、后勤综合管理等。负责办公室日常工作，主要是公章管理；公文、档案管理；办公采购、机关食堂的后勤保障。发放财政、自筹、村干部、计生临聘、劳务派遣、国防工役制等人员经费的财政工作。内部审计、统计管理等职能，负责政务公开、档案管理、人口普查等工作。</w:t>
      </w:r>
    </w:p>
    <w:p>
      <w:pPr>
        <w:pStyle w:val="23"/>
      </w:pPr>
      <w:r>
        <w:t>绩效目标1：确保机关正常运行。</w:t>
      </w:r>
    </w:p>
    <w:p>
      <w:pPr>
        <w:pStyle w:val="23"/>
      </w:pPr>
      <w:r>
        <w:t>绩效指标1：综合事务完成率保持在95%以上，差错率1%以下。</w:t>
      </w:r>
    </w:p>
    <w:p>
      <w:pPr>
        <w:pStyle w:val="23"/>
      </w:pPr>
      <w:r>
        <w:t>绩效目标2：涉农项目资金及时准确发放到位。</w:t>
      </w:r>
    </w:p>
    <w:p>
      <w:pPr>
        <w:pStyle w:val="23"/>
      </w:pPr>
      <w:r>
        <w:t>绩效指标2：涉农项目类资金发放准确率在99%以上。</w:t>
      </w:r>
    </w:p>
    <w:p>
      <w:pPr>
        <w:pStyle w:val="23"/>
      </w:pPr>
      <w:r>
        <w:t>绩效目标3：各类征地拆迁活动顺利进行，葡萄小镇产业蓬勃发展。农村各项公共事业发展壮大。</w:t>
      </w:r>
    </w:p>
    <w:p>
      <w:pPr>
        <w:pStyle w:val="23"/>
      </w:pPr>
      <w:r>
        <w:t xml:space="preserve">绩效指标3：征地拆迁活动完成率保持在95%以上，差错率1%以下。 </w:t>
      </w:r>
    </w:p>
    <w:p>
      <w:pPr>
        <w:pStyle w:val="23"/>
      </w:pPr>
      <w:r>
        <w:t>绩效目标4：农村各项公共事业发展壮大。</w:t>
      </w:r>
    </w:p>
    <w:p>
      <w:pPr>
        <w:pStyle w:val="23"/>
      </w:pPr>
      <w:r>
        <w:t>绩效指标4：公共事业发展壮大完成率保持在95%以上。</w:t>
      </w:r>
    </w:p>
    <w:p>
      <w:pPr>
        <w:pStyle w:val="23"/>
      </w:pPr>
      <w:r>
        <w:t>（二）促进经济发展，执行经济和社会发展计划、管理本区域内各项行政工作、落实各项规划。</w:t>
      </w:r>
    </w:p>
    <w:p>
      <w:pPr>
        <w:pStyle w:val="23"/>
      </w:pPr>
      <w:r>
        <w:t>1、科学制定乡产业发展计划。科学制定乡产业发展计划，谋划适应本乡发展模式,贯彻执行国家国民经济核算制度，组织实施全乡国民经济核算制度和投入产出调查，核算全乡生产总值，整理、测算和提供国民经济核算资料，监督管理全乡国民经济核算工作。</w:t>
      </w:r>
    </w:p>
    <w:p>
      <w:pPr>
        <w:pStyle w:val="23"/>
      </w:pPr>
      <w:r>
        <w:t>绩效目标1：提高自我发展能力,完成全乡年度数据的测算审核认定工作。</w:t>
      </w:r>
    </w:p>
    <w:p>
      <w:pPr>
        <w:pStyle w:val="23"/>
      </w:pPr>
      <w:r>
        <w:t>绩效指标1：任务完成率、事件反馈率均在90%以上。</w:t>
      </w:r>
    </w:p>
    <w:p>
      <w:pPr>
        <w:pStyle w:val="23"/>
      </w:pPr>
      <w:r>
        <w:t>绩效目标2：完成必要分析，对相关经济决策提供重要依据。</w:t>
      </w:r>
    </w:p>
    <w:p>
      <w:pPr>
        <w:pStyle w:val="23"/>
      </w:pPr>
      <w:r>
        <w:t>绩效指标2：分析工作完成率、事件反馈率均在90%以上。</w:t>
      </w:r>
    </w:p>
    <w:p>
      <w:pPr>
        <w:pStyle w:val="23"/>
      </w:pPr>
      <w:r>
        <w:t>2、区域规划。农村公路、村民活动中心、卫生室建设、乡村道路建设，一事一议、农村面貌改造提升、美丽乡村、清洁工程、文明生态村等农村基础类规划建设工作。</w:t>
      </w:r>
    </w:p>
    <w:p>
      <w:pPr>
        <w:pStyle w:val="23"/>
      </w:pPr>
      <w:r>
        <w:t xml:space="preserve">绩效目标：做好区域规划，提高全乡人民的幸福指数。        </w:t>
      </w:r>
    </w:p>
    <w:p>
      <w:pPr>
        <w:pStyle w:val="23"/>
      </w:pPr>
      <w:r>
        <w:t>绩效指标：工程验收合格率、工程完工率都达90%及以上。</w:t>
      </w:r>
    </w:p>
    <w:p>
      <w:pPr>
        <w:pStyle w:val="23"/>
      </w:pPr>
      <w:r>
        <w:t>3、行政综合服务。负责提供各种社会保障服务、社会信用体系建设、教育体育、卫生健康、财政、统计、司法行政、民政等工作。</w:t>
      </w:r>
    </w:p>
    <w:p>
      <w:pPr>
        <w:pStyle w:val="23"/>
      </w:pPr>
      <w:r>
        <w:t>绩效目标：提供社会保障服务，提高办事效率。</w:t>
      </w:r>
    </w:p>
    <w:p>
      <w:pPr>
        <w:pStyle w:val="23"/>
      </w:pPr>
      <w:r>
        <w:t>绩效指标：任务完成率、村民满意度都达90%及以上。</w:t>
      </w:r>
    </w:p>
    <w:p>
      <w:pPr>
        <w:pStyle w:val="23"/>
      </w:pPr>
      <w:r>
        <w:t>（三）党委自身建设和村党组织建设。加强社会管理，保障全乡组织建设的正常进行，党委工作的有序开展。</w:t>
      </w:r>
    </w:p>
    <w:p>
      <w:pPr>
        <w:pStyle w:val="23"/>
      </w:pPr>
      <w:r>
        <w:t>1、乡组织建设。组织、监督国家基本公共政策的实施，建立健全乡村干部队伍建设，增强乡村干部的综合素质和致富、领富能力。</w:t>
      </w:r>
    </w:p>
    <w:p>
      <w:pPr>
        <w:pStyle w:val="23"/>
      </w:pPr>
      <w:r>
        <w:t>绩效目标：加强村两委领导班子建设，每年对村两委班子实行量化绩效考核。</w:t>
      </w:r>
    </w:p>
    <w:p>
      <w:pPr>
        <w:pStyle w:val="23"/>
      </w:pPr>
      <w:r>
        <w:t>绩效指标：督查督办落实任务，村民满意度评价在90%以上。</w:t>
      </w:r>
    </w:p>
    <w:p>
      <w:pPr>
        <w:pStyle w:val="23"/>
      </w:pPr>
      <w:r>
        <w:t>2、党建工作。抓好党组织、团委、妇联建设,提出党内生活制度建设的意见；指导全乡党员教育工作，加强村级建设。</w:t>
      </w:r>
    </w:p>
    <w:p>
      <w:pPr>
        <w:pStyle w:val="23"/>
      </w:pPr>
      <w:r>
        <w:t>绩效目标：抓好党员干部队伍思想作风建设,加强党组织建设和党员管理,不断提高执政能力和领导水平，加强村干部队伍建设。</w:t>
      </w:r>
    </w:p>
    <w:p>
      <w:pPr>
        <w:pStyle w:val="23"/>
      </w:pPr>
      <w:r>
        <w:t>绩效指标：加强学习强国和新思想的学习，村级组织和村干部的年度综合考评在90分以上。</w:t>
      </w:r>
    </w:p>
    <w:p>
      <w:pPr>
        <w:pStyle w:val="23"/>
      </w:pPr>
      <w:r>
        <w:t>（四）基层治理。加强法治建设、加强社会治安综合治理，做好应急管理、环境保护、退役军人服务等工作。</w:t>
      </w:r>
    </w:p>
    <w:p>
      <w:pPr>
        <w:pStyle w:val="23"/>
      </w:pPr>
      <w:r>
        <w:t>1、社会治安综合治理。深化人民调解、社区矫正和安置帮教工作。深化社会综合治理，加强社会治安防控体系建设，依法防范和打击违法犯罪活动。</w:t>
      </w:r>
    </w:p>
    <w:p>
      <w:pPr>
        <w:pStyle w:val="23"/>
      </w:pPr>
      <w:r>
        <w:t>绩效目标：加强普法宣传，增强法律意识。</w:t>
      </w:r>
    </w:p>
    <w:p>
      <w:pPr>
        <w:pStyle w:val="23"/>
      </w:pPr>
      <w:r>
        <w:t>绩效指标：普法宣传教育，安置帮教工作顺利开展。</w:t>
      </w:r>
    </w:p>
    <w:p>
      <w:pPr>
        <w:pStyle w:val="23"/>
      </w:pPr>
      <w:r>
        <w:t>2、计划生育工作。负责人口和计划生育政策法规的相关工作，为提高人口素质提供优质服务。</w:t>
      </w:r>
    </w:p>
    <w:p>
      <w:pPr>
        <w:pStyle w:val="23"/>
      </w:pPr>
      <w:r>
        <w:t>绩效目标：负责优生、优育、节育服务，负责育龄妇女定期检查，排查管理本辖区流动人口计划生育工作。</w:t>
      </w:r>
    </w:p>
    <w:p>
      <w:pPr>
        <w:pStyle w:val="23"/>
      </w:pPr>
      <w:r>
        <w:t>绩效指标：计划生育家庭特别辅助政策落实到位，享受农村计生家庭扶助奖励政策落</w:t>
      </w:r>
      <w:bookmarkStart w:id="20" w:name="_GoBack"/>
      <w:bookmarkEnd w:id="20"/>
      <w:r>
        <w:t>到实处，让流动人口对计生服务满意。</w:t>
      </w:r>
    </w:p>
    <w:p>
      <w:pPr>
        <w:pStyle w:val="23"/>
      </w:pPr>
      <w:r>
        <w:t>3、就业服务。提供就业信息，加大劳务输出数量。</w:t>
      </w:r>
    </w:p>
    <w:p>
      <w:pPr>
        <w:pStyle w:val="23"/>
      </w:pPr>
      <w:r>
        <w:t>绩效目标：提高劳动力收入水平，提高人民群众生活水平。</w:t>
      </w:r>
    </w:p>
    <w:p>
      <w:pPr>
        <w:pStyle w:val="23"/>
      </w:pPr>
      <w:r>
        <w:t>绩效指标：增加就业机会和就业服务到位率，开展就业服务指导培训，提高村民技能。</w:t>
      </w:r>
    </w:p>
    <w:p>
      <w:pPr>
        <w:pStyle w:val="23"/>
      </w:pPr>
      <w:r>
        <w:t>4、建设美丽幸福乡镇。制定城乡规划技术管理标准，拟定村庄和小镇建设及环境卫生政策并指导实施，指导农村住房建设和美丽小镇建设。</w:t>
      </w:r>
    </w:p>
    <w:p>
      <w:pPr>
        <w:pStyle w:val="23"/>
      </w:pPr>
      <w:r>
        <w:t>绩效目标1：加强村镇建设，改善农村、葡萄小镇环境卫生。</w:t>
      </w:r>
    </w:p>
    <w:p>
      <w:pPr>
        <w:pStyle w:val="23"/>
      </w:pPr>
      <w:r>
        <w:t>绩效指标1：建设美丽乡村。</w:t>
      </w:r>
    </w:p>
    <w:p>
      <w:pPr>
        <w:pStyle w:val="23"/>
      </w:pPr>
      <w:r>
        <w:t>绩效目标2：完成征迁工作和大沙河治理工作，增加绿化改造。</w:t>
      </w:r>
    </w:p>
    <w:p>
      <w:pPr>
        <w:pStyle w:val="23"/>
      </w:pPr>
      <w:r>
        <w:t>绩效指标2：绿化美化环境达标。</w:t>
      </w:r>
    </w:p>
    <w:p>
      <w:pPr>
        <w:pStyle w:val="23"/>
      </w:pPr>
      <w:r>
        <w:t>5、防灾减灾。组织协调乡级防灾减灾工作。组织核查并统一发布灾情，组织指导救灾捐赠工作，负责国内外救灾捐赠款物的接收使用，组织协调紧急转移安置灾民，做好防灾减灾。</w:t>
      </w:r>
    </w:p>
    <w:p>
      <w:pPr>
        <w:pStyle w:val="23"/>
      </w:pPr>
      <w:r>
        <w:t>绩效目标：严格控制水灾发生，确保全年行洪畅通，安全度汛。</w:t>
      </w:r>
    </w:p>
    <w:p>
      <w:pPr>
        <w:pStyle w:val="23"/>
      </w:pPr>
      <w:r>
        <w:t>绩效指标：普及宣传防灾救灾相关知识，控制火灾、汛灾、旱灾无发生。</w:t>
      </w:r>
    </w:p>
    <w:p>
      <w:pPr>
        <w:pStyle w:val="23"/>
      </w:pPr>
      <w:r>
        <w:t>（五）社会稳定。加强法制宣传，做好信访维稳工作，负责正常来访，接访及疑难问题处理，确保社会稳定。</w:t>
      </w:r>
    </w:p>
    <w:p>
      <w:pPr>
        <w:pStyle w:val="23"/>
      </w:pPr>
      <w:r>
        <w:t>1、司法业务和综合治理。贯彻执行国家的法律法规和上级关于社会治安综合治理的政策措施，深化人民调解、社区矫正和安置帮教工作，深化社会综合治理，加强社会治安防控体系建设，依法防范和打击违法犯罪活动。</w:t>
      </w:r>
    </w:p>
    <w:p>
      <w:pPr>
        <w:pStyle w:val="23"/>
      </w:pPr>
      <w:r>
        <w:t>绩效目标1：加强普法宣传，增强法律意识。</w:t>
      </w:r>
    </w:p>
    <w:p>
      <w:pPr>
        <w:pStyle w:val="23"/>
      </w:pPr>
      <w:r>
        <w:t>绩效指标1：普法宣传教育，安置帮教工作顺利开展。</w:t>
      </w:r>
    </w:p>
    <w:p>
      <w:pPr>
        <w:pStyle w:val="23"/>
      </w:pPr>
      <w:r>
        <w:t>2、信访维稳。负责正常信访、非访、突发性及群体性事件的办理，提供相关服务保障，协助上级信访局处理越级上访，维护社会秩序和社会稳定，促进社会和谐。</w:t>
      </w:r>
    </w:p>
    <w:p>
      <w:pPr>
        <w:pStyle w:val="23"/>
      </w:pPr>
      <w:r>
        <w:t>绩效目标1：及时掌握社会治安动态，消除治安隐患,对有关对象违反党纪政纪和违纪违法行为进行处理。</w:t>
      </w:r>
    </w:p>
    <w:p>
      <w:pPr>
        <w:pStyle w:val="23"/>
      </w:pPr>
      <w:r>
        <w:t>绩效指标1：各类事件及时处理。</w:t>
      </w:r>
    </w:p>
    <w:p>
      <w:pPr>
        <w:pStyle w:val="23"/>
      </w:pPr>
      <w:r>
        <w:t>绩效目标2：组织协调案件查办工作。</w:t>
      </w:r>
    </w:p>
    <w:p>
      <w:pPr>
        <w:pStyle w:val="23"/>
      </w:pPr>
      <w:r>
        <w:t>绩效指标2：协调督导事件化解。</w:t>
      </w:r>
    </w:p>
    <w:p>
      <w:pPr>
        <w:spacing w:line="500" w:lineRule="exact"/>
        <w:ind w:firstLine="560"/>
      </w:pPr>
      <w:r>
        <w:rPr>
          <w:rFonts w:eastAsia="方正仿宋_GBK"/>
          <w:color w:val="000000"/>
          <w:sz w:val="28"/>
        </w:rPr>
        <w:t>（三）工作保障措施</w:t>
      </w:r>
    </w:p>
    <w:p>
      <w:pPr>
        <w:pStyle w:val="24"/>
      </w:pPr>
      <w:r>
        <w:t>（一）保障机关事务正常运行、协调大型会议、重要活动的正常、顺利举办。党委、政府公文运转、会议和活动组织安排、公车管理、食堂、后勤综合管理等。</w:t>
      </w:r>
    </w:p>
    <w:p>
      <w:pPr>
        <w:pStyle w:val="24"/>
      </w:pPr>
      <w:r>
        <w:t>保障措施：深入贯彻落实党的十九大精神，坚持新发展理念引领，结合“不忘初心</w:t>
      </w:r>
      <w:r>
        <w:rPr>
          <w:rFonts w:hint="eastAsia"/>
          <w:lang w:eastAsia="zh-CN"/>
        </w:rPr>
        <w:t>、</w:t>
      </w:r>
      <w:r>
        <w:t>牢记使命”主题教育契机，用习近平新时代中国特色社会主义思想武装头脑，坚持新发展理念。扎实开展“三严三实”专题教育，继续转变干部作风，树立良好形象，通过多种方式，加强学习，改进工作方法，大兴求真务实之风、调查研究之风，把作风转变的成效体现在立党为公，执政为民上，落实到“群众利益无小事”的具体实践上，以提升机关工作效率。</w:t>
      </w:r>
    </w:p>
    <w:p>
      <w:pPr>
        <w:pStyle w:val="24"/>
      </w:pPr>
      <w:r>
        <w:t>（二）加强法制宣传，做好信访维稳工作，确保社会稳定;深化人民调解、社区矫正和安置帮教工作。</w:t>
      </w:r>
    </w:p>
    <w:p>
      <w:pPr>
        <w:pStyle w:val="24"/>
      </w:pPr>
      <w:r>
        <w:t>保障措施为：</w:t>
      </w:r>
    </w:p>
    <w:p>
      <w:pPr>
        <w:pStyle w:val="24"/>
      </w:pPr>
      <w:r>
        <w:t>1、大力推动法制宣传。通过宣传条幅、墙体标语、村广播等形式，加强对土地管理、土地承包、民事诉讼、信访条例等法律法规的宣传，安排司法部门对中小学生进行普法教育，逐步提高全民法制素质。</w:t>
      </w:r>
    </w:p>
    <w:p>
      <w:pPr>
        <w:pStyle w:val="24"/>
      </w:pPr>
      <w:r>
        <w:t>2、扎实开展矛盾纠纷排查化解。建立排查台账，对排查出的重点案件及重点人员全部落实“五包一”责任制，为修复社会矛盾做不懈努力。</w:t>
      </w:r>
    </w:p>
    <w:p>
      <w:pPr>
        <w:pStyle w:val="24"/>
      </w:pPr>
      <w:r>
        <w:t>3、是做好敏感时期信访稳定工作。每天都有领导接待来访，并对重点上访人积极约访、下访，努力化解积案。</w:t>
      </w:r>
    </w:p>
    <w:p>
      <w:pPr>
        <w:pStyle w:val="24"/>
      </w:pPr>
      <w:r>
        <w:t>4、推进依法治访工作。对长期无理访、缠访、闹访的人员坚持教育和打击并重。社会风气持续好转。</w:t>
      </w:r>
    </w:p>
    <w:p>
      <w:pPr>
        <w:pStyle w:val="24"/>
      </w:pPr>
      <w:r>
        <w:t>（三）加大基础设施建设和全乡垃圾治理、全乡大气污染防治、加大民生建设，着力为乡域经济发展创造优良环境和夯实基础。</w:t>
      </w:r>
    </w:p>
    <w:p>
      <w:pPr>
        <w:pStyle w:val="24"/>
      </w:pPr>
      <w:r>
        <w:t>保障措施为：</w:t>
      </w:r>
    </w:p>
    <w:p>
      <w:pPr>
        <w:pStyle w:val="24"/>
      </w:pPr>
      <w:r>
        <w:t>1、改善乡村容貌。计划实施了乡村主街拓宽工程、亮化工程、排水工程、绿化工程、两侧建筑拆旧建新退界工程，完成了乡村主路两侧的便道硬化和边沟修砌、垃圾箱安装、绿化、太阳能路灯改造。乡村卫生管理的规范化、常态化。乡村基础设施逐步完善，公共服务水平逐步提升，承载能力逐步提高。</w:t>
      </w:r>
    </w:p>
    <w:p>
      <w:pPr>
        <w:pStyle w:val="24"/>
      </w:pPr>
      <w:r>
        <w:t>2、治理环境污染。扎实开展了农村垃圾治理、大气污染防治，大力推进燃煤锅炉改造、河道环境整治、美丽乡村建设等项工作，尽可能减少生产、生活排放对环境的影响。开展农村垃圾治理大会战，从村庄主路、村内辅路及联村路周边人居环境治理。</w:t>
      </w:r>
    </w:p>
    <w:p>
      <w:pPr>
        <w:pStyle w:val="24"/>
      </w:pPr>
      <w:r>
        <w:t>（四）突出政务、加强事务、提升服务，力求重点工作出精品，难点工作求突破、基础工作有创新、常规工作见特色。以机关干部作风量化指标为依据，增强了工作综合服务实力。承担乡政务公开暨行政权力公开透明运行工作领导小组的日常工作，指导和协调全乡政务公开及政务服</w:t>
      </w:r>
      <w:r>
        <w:rPr>
          <w:rFonts w:hint="eastAsia"/>
          <w:lang w:eastAsia="zh-CN"/>
        </w:rPr>
        <w:t>务</w:t>
      </w:r>
      <w:r>
        <w:t>中心建设、推进行政服务体系标准化建设工作。</w:t>
      </w:r>
    </w:p>
    <w:p>
      <w:pPr>
        <w:pStyle w:val="24"/>
      </w:pPr>
      <w:r>
        <w:t>保障措施：加快转变干部作风。广大党员干部不折不扣执行中央八项规定，深化正风肃纪行动。不断完善机关制度建设，用制度管理人、约束人、激励人，努力打造高素质干部队伍。推进依法行政，以积极主动的工作态度、开拓创新的工作行为，不断提升办事效能和服务水平；加强党务、政务、村务公开；完善“三级平台、两个代办”，健全乡政务服务中心建设。</w:t>
      </w:r>
    </w:p>
    <w:p>
      <w:pPr>
        <w:pStyle w:val="24"/>
      </w:pPr>
      <w:r>
        <w:t>（五）加强基层领导班子建设；健全全乡党的组织制度、党内生活制度建设；加强民主集中制建设和民主生活会宏观指导；协调和指导乡党代会、人代会；做好代表补选、罢免等事宜。</w:t>
      </w:r>
    </w:p>
    <w:p>
      <w:pPr>
        <w:pStyle w:val="24"/>
      </w:pPr>
      <w:r>
        <w:t>保障措施：要继续固本强基，不断提高党的自身建设，建强基层干部队伍。认真学习贯彻党的十九大精神，牢固树立抓党建促发展的鲜明导向，切实履行“第一责任人”职责，带头抓调研、抓谋划、抓督查、抓问效。以25年底党建考核为抓手，把考核作为奖惩和使用干部的重要依据，对抓党建工作不重视、不到位的严重问责，对问题严重的及时调整。对考核排名靠后的，及时约谈。</w:t>
      </w:r>
    </w:p>
    <w:p>
      <w:pPr>
        <w:pStyle w:val="24"/>
      </w:pPr>
      <w:r>
        <w:t>严格落实用人机制，扩大选人用人视野，拓宽村级后备干部来源渠道，优化村级干部队伍结构。持续开展软弱涣散党组织整顿，对不胜任现职岗位的及时调整。加强党员干部教育培训，增强基层党组织和党员服务能力。</w:t>
      </w:r>
    </w:p>
    <w:p>
      <w:pPr>
        <w:pStyle w:val="24"/>
      </w:pPr>
      <w:r>
        <w:t>（六）公共服务能力不断加强，发展公共事业，为全乡人民参与社会政治、经济、文化活动等提供保障。</w:t>
      </w:r>
    </w:p>
    <w:p>
      <w:pPr>
        <w:pStyle w:val="24"/>
      </w:pPr>
      <w:r>
        <w:t>保障措施：</w:t>
      </w:r>
    </w:p>
    <w:p>
      <w:pPr>
        <w:pStyle w:val="24"/>
      </w:pPr>
      <w:r>
        <w:t>1、把解决好群众关切的问题放在更为优先位置，落实各项惠农举措。</w:t>
      </w:r>
    </w:p>
    <w:p>
      <w:pPr>
        <w:pStyle w:val="24"/>
      </w:pPr>
      <w:r>
        <w:t>2、加强人口和计生工作，切实抓好流动人口和计生管理工作。</w:t>
      </w:r>
    </w:p>
    <w:p>
      <w:pPr>
        <w:pStyle w:val="24"/>
      </w:pPr>
      <w:r>
        <w:t>3、要不断完善社会保障体系。</w:t>
      </w:r>
    </w:p>
    <w:p>
      <w:pPr>
        <w:pStyle w:val="24"/>
      </w:pPr>
      <w:r>
        <w:t>4、加大农民技能培训和就业扶持力度，加速农村劳动力转移。进一步完善农村就业服务体系，提高农民的就业能力。</w:t>
      </w:r>
    </w:p>
    <w:p>
      <w:pPr>
        <w:pStyle w:val="24"/>
      </w:pPr>
      <w:r>
        <w:t>5、全面实施城乡居民社会养老保险制度，巩固新型农村合作医疗保险参合率。</w:t>
      </w:r>
    </w:p>
    <w:p>
      <w:pPr>
        <w:pStyle w:val="24"/>
      </w:pPr>
      <w:r>
        <w:t>6、不断健全社会救济、优抚及移民安置等社会救助体系，加快发展社会养老事业。</w:t>
      </w:r>
    </w:p>
    <w:p>
      <w:pPr>
        <w:pStyle w:val="24"/>
      </w:pPr>
      <w:r>
        <w:t>（七）促进经济发展，优化经济结构，转换增长动力。</w:t>
      </w:r>
    </w:p>
    <w:p>
      <w:pPr>
        <w:pStyle w:val="24"/>
      </w:pPr>
      <w:r>
        <w:t>保障措施；促进乡域经济发展加快推进红色村庄建设项目工作。确保乡经济发展计划顺利实施</w:t>
      </w:r>
    </w:p>
    <w:p>
      <w:pPr>
        <w:pStyle w:val="24"/>
      </w:pPr>
      <w:r>
        <w:t>（八）加强村乡建设，改善农村环境卫生，完成征迁工作，增加绿化，广告宣传工作。</w:t>
      </w:r>
    </w:p>
    <w:p>
      <w:pPr>
        <w:pStyle w:val="24"/>
      </w:pPr>
      <w:r>
        <w:t>保障措施：继续开展农村道路硬化、农村安全饮用水、农村改水改厕、危房改造等一批“民心工程”，打造重点村 “美丽乡村”建设工作。以“创新、协调、绿色、开放、共享”的发展理念做好全乡建设工作，整体推进新农村建设进程。</w:t>
      </w:r>
    </w:p>
    <w:p>
      <w:pPr>
        <w:pStyle w:val="24"/>
      </w:pPr>
      <w:r>
        <w:t>（九）建设完善全乡自然灾害救助应急体系。实施分类救助，保障受灾群众基本生活。</w:t>
      </w:r>
    </w:p>
    <w:p>
      <w:pPr>
        <w:pStyle w:val="24"/>
      </w:pPr>
      <w:r>
        <w:t>保障措施：树立风险管理和综合减灾理念。进一步完善防灾、减灾、救灾专项考核办法，增加防灾减灾在工作考核中的比例。加大防灾、减灾、救灾科普宣传教育力度。开展自然灾害救助预案演练。</w:t>
      </w:r>
    </w:p>
    <w:p>
      <w:pPr>
        <w:pStyle w:val="24"/>
      </w:pPr>
      <w:r>
        <w:t>（十）紧紧围绕全县“干红酒产业聚集区”建设和“干红酒产业链条”延伸，在招商引资、园区发展和项目建设上寻求突破。牢固树立“一切资源皆是旅游资源”的全域旅游理念，进一步强化“开发带动、旅游兴乡”意识，围绕碣石国家公园建设开发，深度挖掘乡村旅游的内涵，打造集“休闲度假、乡村风情、养生典范”为一体的昌黎本土文化体验空间。</w:t>
      </w:r>
    </w:p>
    <w:p>
      <w:pPr>
        <w:pStyle w:val="24"/>
      </w:pPr>
      <w:r>
        <w:t>保障措施：注重打造品牌，红酒田园暨农村一、二、三产业融合发展示范区项目建设。推动“红酒+文化+旅游”三者的有机融合，实现干红葡萄酒产业的上档升级，有效增加红酒产业附加值。进一步推进在建的金士酒庄、海亚湾酒庄、朗格斯酒庄、嘉泰酒庄发展的同时，加大招商引资度，吸引有投资实力的高档酒庄项目进入两山乡。着力推动“互联网+壹亩葡园”发展，依托已建成的酒庄葡园，依靠互联网技术，通过众筹众创的模式，强化参与性、互动性，在种、采、旅、品、展、销等多个环节，开展多元化、个性化的活动，探索一条红酒、地产、文化及旅游等相关产业融合的新路，实现“小葡园拉动大农业，小葡园拉动大旅游，小葡园拉动大服务”的多领域融合发展模式。</w:t>
      </w:r>
    </w:p>
    <w:p>
      <w:pPr>
        <w:pStyle w:val="24"/>
      </w:pPr>
      <w:r>
        <w:t>找准与县城北展东扩城市发展战略的结合点，实施开发开放旅游带动，做大做强第三产业，在发展乡村旅游上寻求突破。加大招商引资力度，引进大的旅游项目，加快旅游开发进程。进一步抓好正明山村和长峪山村旅游示范点建设，完善乡村旅游精品路线，突出“民俗、生态、休闲”三大特色，建设集观光、采摘、娱乐、餐饮于一体的高标准生态园、农家乐和农业旅游园，推动乡村旅游逐渐地上档次。</w:t>
      </w:r>
    </w:p>
    <w:p>
      <w:pPr>
        <w:pStyle w:val="24"/>
      </w:pPr>
      <w:r>
        <w:t>（十一）2026年度发展规划目标顺利实现。为应对可能存在的问题和环境变化等趋势，采取措施预做准备，控制偏差，保证绩效目标实现，我乡特制定如下各项保障措施：</w:t>
      </w:r>
    </w:p>
    <w:p>
      <w:pPr>
        <w:pStyle w:val="24"/>
      </w:pPr>
      <w:r>
        <w:t>１、完善制度建设。制定完善预算绩效管理制度、资金管理办法、工作保障制度等，为全年预算绩效目标的实现奠定制度基础。</w:t>
      </w:r>
    </w:p>
    <w:p>
      <w:pPr>
        <w:pStyle w:val="24"/>
      </w:pPr>
      <w:r>
        <w:t>２、加强支出管理。通过优化支出结构、编细编实预算、加快履行政府采购手续、尽快启动项目、及时支付资金、6月底前细化代编预算、按规定及时下达资金等多种措施，确保支出进度达标。</w:t>
      </w:r>
    </w:p>
    <w:p>
      <w:pPr>
        <w:pStyle w:val="24"/>
      </w:pPr>
      <w:r>
        <w:t>３、加强绩效运行监控。按要求开展绩效运行监控，发现问题及时采取措施，确保绩效目标如期保质实现。</w:t>
      </w:r>
    </w:p>
    <w:p>
      <w:pPr>
        <w:pStyle w:val="24"/>
      </w:pPr>
      <w:r>
        <w:t>４、做好绩效自评。按要求开展上年度部门预算绩效自评和重点评价工作，对评价中发现的问题及时整改，调整优化支出结构提高财政资金使用效益。</w:t>
      </w:r>
    </w:p>
    <w:p>
      <w:pPr>
        <w:pStyle w:val="24"/>
      </w:pPr>
      <w:r>
        <w:t>５、规范财务资产管理。完善财务管理制度，严格审批程序，加强固定资产登记、使用和报废处置管理，做到支出合理，物尽其用。</w:t>
      </w:r>
    </w:p>
    <w:p>
      <w:pPr>
        <w:pStyle w:val="24"/>
      </w:pPr>
      <w:r>
        <w:t>６、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７、加强宣传培训调研等。加强人员培训，提高本部门职工业务素质；加强调研，提出优化财政资金配置、提高资金使用效益的意见；加大宣传力度，强化预算绩效管理意识，促进预算绩效管理水平进一步提升。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280" w:firstLineChars="400"/>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1、1125国防工程参建人员生活补贴绩效目标表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13032226P00227310030U</w:t>
            </w:r>
          </w:p>
        </w:tc>
        <w:tc>
          <w:tcPr>
            <w:tcW w:w="2835" w:type="dxa"/>
            <w:vAlign w:val="center"/>
          </w:tcPr>
          <w:p>
            <w:pPr>
              <w:pStyle w:val="11"/>
            </w:pPr>
            <w:r>
              <w:t>项目名称</w:t>
            </w:r>
          </w:p>
        </w:tc>
        <w:tc>
          <w:tcPr>
            <w:tcW w:w="6095" w:type="dxa"/>
            <w:gridSpan w:val="3"/>
            <w:vAlign w:val="center"/>
          </w:tcPr>
          <w:p>
            <w:pPr>
              <w:pStyle w:val="13"/>
            </w:pPr>
            <w:r>
              <w:t>1125国防工程参建人员生活补贴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0.58</w:t>
            </w:r>
          </w:p>
        </w:tc>
        <w:tc>
          <w:tcPr>
            <w:tcW w:w="2835" w:type="dxa"/>
            <w:vAlign w:val="center"/>
          </w:tcPr>
          <w:p>
            <w:pPr>
              <w:pStyle w:val="11"/>
            </w:pPr>
            <w:r>
              <w:t>其中：财政    资金</w:t>
            </w:r>
          </w:p>
        </w:tc>
        <w:tc>
          <w:tcPr>
            <w:tcW w:w="2551" w:type="dxa"/>
            <w:vAlign w:val="center"/>
          </w:tcPr>
          <w:p>
            <w:pPr>
              <w:pStyle w:val="13"/>
            </w:pPr>
            <w:r>
              <w:t>0.58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发放1125国防工程参建人员生活补贴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1125国防工程参建人员生活补助，使1125国防工程参建人员权益得到保障，达到使其正常开展工作、生活的效果；通过发放1125国防工程参建人员生活补助，达到保障1125国防参建人员生活补助正常支出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参建人员人数</w:t>
            </w:r>
          </w:p>
        </w:tc>
        <w:tc>
          <w:tcPr>
            <w:tcW w:w="5386" w:type="dxa"/>
            <w:vAlign w:val="center"/>
          </w:tcPr>
          <w:p>
            <w:pPr>
              <w:pStyle w:val="13"/>
            </w:pPr>
            <w:r>
              <w:t>1125国防工程参建人员人数</w:t>
            </w:r>
          </w:p>
        </w:tc>
        <w:tc>
          <w:tcPr>
            <w:tcW w:w="2268" w:type="dxa"/>
            <w:vAlign w:val="center"/>
          </w:tcPr>
          <w:p>
            <w:pPr>
              <w:pStyle w:val="13"/>
            </w:pPr>
            <w:r>
              <w:t>2人</w:t>
            </w:r>
          </w:p>
        </w:tc>
        <w:tc>
          <w:tcPr>
            <w:tcW w:w="1276" w:type="dxa"/>
            <w:vAlign w:val="center"/>
          </w:tcPr>
          <w:p>
            <w:pPr>
              <w:pStyle w:val="13"/>
            </w:pPr>
            <w:r>
              <w:t>资金发放表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补助资金发放率</w:t>
            </w:r>
          </w:p>
        </w:tc>
        <w:tc>
          <w:tcPr>
            <w:tcW w:w="5386" w:type="dxa"/>
            <w:vAlign w:val="center"/>
          </w:tcPr>
          <w:p>
            <w:pPr>
              <w:pStyle w:val="13"/>
            </w:pPr>
            <w:r>
              <w:t>实际拨付1125国防工程参建资金数占全部拨付数的比率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参建人员补贴发放及时率</w:t>
            </w:r>
          </w:p>
        </w:tc>
        <w:tc>
          <w:tcPr>
            <w:tcW w:w="5386" w:type="dxa"/>
            <w:vAlign w:val="center"/>
          </w:tcPr>
          <w:p>
            <w:pPr>
              <w:pStyle w:val="13"/>
            </w:pPr>
            <w:r>
              <w:t>按时发放补贴的金额占实际到位金额的比例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1125国防工程参建人员年补助标准</w:t>
            </w:r>
          </w:p>
        </w:tc>
        <w:tc>
          <w:tcPr>
            <w:tcW w:w="5386" w:type="dxa"/>
            <w:vAlign w:val="center"/>
          </w:tcPr>
          <w:p>
            <w:pPr>
              <w:pStyle w:val="13"/>
            </w:pPr>
            <w:r>
              <w:t>每年发放的1125国防工程参建人员补助标准</w:t>
            </w:r>
          </w:p>
        </w:tc>
        <w:tc>
          <w:tcPr>
            <w:tcW w:w="2268" w:type="dxa"/>
            <w:vAlign w:val="center"/>
          </w:tcPr>
          <w:p>
            <w:pPr>
              <w:pStyle w:val="13"/>
            </w:pPr>
            <w:r>
              <w:t>≤3128.4元/人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提高1125国防工程参建人员收入</w:t>
            </w:r>
          </w:p>
        </w:tc>
        <w:tc>
          <w:tcPr>
            <w:tcW w:w="5386" w:type="dxa"/>
            <w:vAlign w:val="center"/>
          </w:tcPr>
          <w:p>
            <w:pPr>
              <w:pStyle w:val="13"/>
            </w:pPr>
            <w:r>
              <w:t>1125国防工程参建人员每年收入增加额</w:t>
            </w:r>
          </w:p>
        </w:tc>
        <w:tc>
          <w:tcPr>
            <w:tcW w:w="2268" w:type="dxa"/>
            <w:vAlign w:val="center"/>
          </w:tcPr>
          <w:p>
            <w:pPr>
              <w:pStyle w:val="13"/>
            </w:pPr>
            <w:r>
              <w:t>≥0.31万元/人/年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提高国防工作水平</w:t>
            </w:r>
          </w:p>
        </w:tc>
        <w:tc>
          <w:tcPr>
            <w:tcW w:w="5386" w:type="dxa"/>
            <w:vAlign w:val="center"/>
          </w:tcPr>
          <w:p>
            <w:pPr>
              <w:pStyle w:val="13"/>
            </w:pPr>
            <w:r>
              <w:t>对国防工作水平的影响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国防工程参建人员补贴的可持续影响</w:t>
            </w:r>
          </w:p>
        </w:tc>
        <w:tc>
          <w:tcPr>
            <w:tcW w:w="5386" w:type="dxa"/>
            <w:vAlign w:val="center"/>
          </w:tcPr>
          <w:p>
            <w:pPr>
              <w:pStyle w:val="13"/>
            </w:pPr>
            <w:r>
              <w:t>国防工程参建人员补贴的发放，对区域内国防工作发挥作用的时限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1125国防参建人员满意度</w:t>
            </w:r>
          </w:p>
        </w:tc>
        <w:tc>
          <w:tcPr>
            <w:tcW w:w="5386" w:type="dxa"/>
            <w:vAlign w:val="center"/>
          </w:tcPr>
          <w:p>
            <w:pPr>
              <w:pStyle w:val="13"/>
            </w:pPr>
            <w:r>
              <w:t>调查中满意或较满意的参建人员占被调查参建人员的比率</w:t>
            </w: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2、2025-2026年取暖季“双代”运行补贴绩效目标表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13032226P00223610045X</w:t>
            </w:r>
          </w:p>
        </w:tc>
        <w:tc>
          <w:tcPr>
            <w:tcW w:w="2835" w:type="dxa"/>
            <w:vAlign w:val="center"/>
          </w:tcPr>
          <w:p>
            <w:pPr>
              <w:pStyle w:val="11"/>
            </w:pPr>
            <w:r>
              <w:t>项目名称</w:t>
            </w:r>
          </w:p>
        </w:tc>
        <w:tc>
          <w:tcPr>
            <w:tcW w:w="6095" w:type="dxa"/>
            <w:gridSpan w:val="3"/>
            <w:vAlign w:val="center"/>
          </w:tcPr>
          <w:p>
            <w:pPr>
              <w:pStyle w:val="13"/>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101.62</w:t>
            </w:r>
          </w:p>
        </w:tc>
        <w:tc>
          <w:tcPr>
            <w:tcW w:w="2835" w:type="dxa"/>
            <w:vAlign w:val="center"/>
          </w:tcPr>
          <w:p>
            <w:pPr>
              <w:pStyle w:val="11"/>
            </w:pPr>
            <w:r>
              <w:t>其中：财政    资金</w:t>
            </w:r>
          </w:p>
        </w:tc>
        <w:tc>
          <w:tcPr>
            <w:tcW w:w="2551" w:type="dxa"/>
            <w:vAlign w:val="center"/>
          </w:tcPr>
          <w:p>
            <w:pPr>
              <w:pStyle w:val="13"/>
            </w:pPr>
            <w:r>
              <w:t>101.62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用于2025-2026年气代煤运行补贴的发放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1.通过气代煤运行补贴的发放，提高百姓收入，增加人民生活幸福感。</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气代煤运行补贴覆盖村数</w:t>
            </w:r>
          </w:p>
        </w:tc>
        <w:tc>
          <w:tcPr>
            <w:tcW w:w="5386" w:type="dxa"/>
            <w:vAlign w:val="center"/>
          </w:tcPr>
          <w:p>
            <w:pPr>
              <w:pStyle w:val="13"/>
            </w:pPr>
            <w:r>
              <w:t>本年度享受气代煤运行补贴的村庄数</w:t>
            </w:r>
          </w:p>
        </w:tc>
        <w:tc>
          <w:tcPr>
            <w:tcW w:w="2268" w:type="dxa"/>
            <w:vAlign w:val="center"/>
          </w:tcPr>
          <w:p>
            <w:pPr>
              <w:pStyle w:val="13"/>
            </w:pPr>
            <w:r>
              <w:t>13个村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补贴资金发放率</w:t>
            </w:r>
          </w:p>
        </w:tc>
        <w:tc>
          <w:tcPr>
            <w:tcW w:w="5386" w:type="dxa"/>
            <w:vAlign w:val="center"/>
          </w:tcPr>
          <w:p>
            <w:pPr>
              <w:pStyle w:val="13"/>
            </w:pPr>
            <w:r>
              <w:t>实际拨付的补贴资金占应发放资金的比率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补贴资金发放及时率</w:t>
            </w:r>
          </w:p>
        </w:tc>
        <w:tc>
          <w:tcPr>
            <w:tcW w:w="5386" w:type="dxa"/>
            <w:vAlign w:val="center"/>
          </w:tcPr>
          <w:p>
            <w:pPr>
              <w:pStyle w:val="13"/>
            </w:pPr>
            <w:r>
              <w:t>按规定发放的补贴资金占实际发放资金比率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气代煤运行补贴单位成本</w:t>
            </w:r>
          </w:p>
        </w:tc>
        <w:tc>
          <w:tcPr>
            <w:tcW w:w="5386" w:type="dxa"/>
            <w:vAlign w:val="center"/>
          </w:tcPr>
          <w:p>
            <w:pPr>
              <w:pStyle w:val="13"/>
            </w:pPr>
            <w:r>
              <w:t>年发放气代煤运行补贴成本</w:t>
            </w:r>
          </w:p>
        </w:tc>
        <w:tc>
          <w:tcPr>
            <w:tcW w:w="2268" w:type="dxa"/>
            <w:vAlign w:val="center"/>
          </w:tcPr>
          <w:p>
            <w:pPr>
              <w:pStyle w:val="13"/>
            </w:pPr>
            <w:r>
              <w:t>≤101.62万元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提高村民收入</w:t>
            </w:r>
          </w:p>
        </w:tc>
        <w:tc>
          <w:tcPr>
            <w:tcW w:w="5386" w:type="dxa"/>
            <w:vAlign w:val="center"/>
          </w:tcPr>
          <w:p>
            <w:pPr>
              <w:pStyle w:val="13"/>
            </w:pPr>
            <w:r>
              <w:t>享受气代煤运行补贴的村每年收入增加额</w:t>
            </w:r>
          </w:p>
        </w:tc>
        <w:tc>
          <w:tcPr>
            <w:tcW w:w="2268" w:type="dxa"/>
            <w:vAlign w:val="center"/>
          </w:tcPr>
          <w:p>
            <w:pPr>
              <w:pStyle w:val="13"/>
            </w:pPr>
            <w:r>
              <w:t>≥101.62万元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农村清洁能源普及率提升</w:t>
            </w:r>
          </w:p>
        </w:tc>
        <w:tc>
          <w:tcPr>
            <w:tcW w:w="5386" w:type="dxa"/>
            <w:vAlign w:val="center"/>
          </w:tcPr>
          <w:p>
            <w:pPr>
              <w:pStyle w:val="13"/>
            </w:pPr>
            <w:r>
              <w:t>农村清洁能源普及率提升</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农户对补贴发放工作满意度</w:t>
            </w:r>
          </w:p>
        </w:tc>
        <w:tc>
          <w:tcPr>
            <w:tcW w:w="5386" w:type="dxa"/>
            <w:vAlign w:val="center"/>
          </w:tcPr>
          <w:p>
            <w:pPr>
              <w:pStyle w:val="13"/>
            </w:pPr>
            <w:r>
              <w:t>调查中满意或较满意的领取补贴村民占被调查领取补贴村民的比率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3、2026年度县级综合文化站免费开放资金绩效目标表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13032226P00217210068Y</w:t>
            </w:r>
          </w:p>
        </w:tc>
        <w:tc>
          <w:tcPr>
            <w:tcW w:w="2835" w:type="dxa"/>
            <w:vAlign w:val="center"/>
          </w:tcPr>
          <w:p>
            <w:pPr>
              <w:pStyle w:val="11"/>
            </w:pPr>
            <w:r>
              <w:t>项目名称</w:t>
            </w:r>
          </w:p>
        </w:tc>
        <w:tc>
          <w:tcPr>
            <w:tcW w:w="6095" w:type="dxa"/>
            <w:gridSpan w:val="3"/>
            <w:vAlign w:val="center"/>
          </w:tcPr>
          <w:p>
            <w:pPr>
              <w:pStyle w:val="13"/>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用于村级文化站设施物资购买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1.及时拨付资金，提升文化站全部免费向社会公众开展基本文化服务水平。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文化站开放文化活动数量</w:t>
            </w:r>
          </w:p>
        </w:tc>
        <w:tc>
          <w:tcPr>
            <w:tcW w:w="5386" w:type="dxa"/>
            <w:vAlign w:val="center"/>
          </w:tcPr>
          <w:p>
            <w:pPr>
              <w:pStyle w:val="13"/>
            </w:pPr>
            <w:r>
              <w:t>本年度文化站免费开放文化活动数量</w:t>
            </w:r>
          </w:p>
        </w:tc>
        <w:tc>
          <w:tcPr>
            <w:tcW w:w="2268" w:type="dxa"/>
            <w:vAlign w:val="center"/>
          </w:tcPr>
          <w:p>
            <w:pPr>
              <w:pStyle w:val="13"/>
            </w:pPr>
            <w:r>
              <w:t>≥3次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群众参与人次较上年增长率</w:t>
            </w:r>
          </w:p>
        </w:tc>
        <w:tc>
          <w:tcPr>
            <w:tcW w:w="5386" w:type="dxa"/>
            <w:vAlign w:val="center"/>
          </w:tcPr>
          <w:p>
            <w:pPr>
              <w:pStyle w:val="13"/>
            </w:pPr>
            <w:r>
              <w:t>群众参与文化站活动人次较上年增长率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已支付资金占应支付资金的比率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≤1.5万元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带动其他相关消费项目增长</w:t>
            </w:r>
          </w:p>
        </w:tc>
        <w:tc>
          <w:tcPr>
            <w:tcW w:w="5386" w:type="dxa"/>
            <w:vAlign w:val="center"/>
          </w:tcPr>
          <w:p>
            <w:pPr>
              <w:pStyle w:val="13"/>
            </w:pPr>
            <w:r>
              <w:t>带动其他相关消费项目增长</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免费开放水平稳步提升</w:t>
            </w:r>
          </w:p>
        </w:tc>
        <w:tc>
          <w:tcPr>
            <w:tcW w:w="5386" w:type="dxa"/>
            <w:vAlign w:val="center"/>
          </w:tcPr>
          <w:p>
            <w:pPr>
              <w:pStyle w:val="13"/>
            </w:pPr>
            <w:r>
              <w:t>免费开放水平稳步提升</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免费开放文化站正常运转时间</w:t>
            </w:r>
          </w:p>
        </w:tc>
        <w:tc>
          <w:tcPr>
            <w:tcW w:w="5386" w:type="dxa"/>
            <w:vAlign w:val="center"/>
          </w:tcPr>
          <w:p>
            <w:pPr>
              <w:pStyle w:val="13"/>
            </w:pPr>
            <w:r>
              <w:t>免费开放文化站正常运转时间</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受益群众对免费开放文化站的满意度</w:t>
            </w:r>
          </w:p>
        </w:tc>
        <w:tc>
          <w:tcPr>
            <w:tcW w:w="5386" w:type="dxa"/>
            <w:vAlign w:val="center"/>
          </w:tcPr>
          <w:p>
            <w:pPr>
              <w:pStyle w:val="13"/>
            </w:pPr>
            <w:r>
              <w:t>调查中受益群众对免费开放文化站的满意人数占全部调查人数的比例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4、2026年国防公路工役制人员及三线铁路建设民兵补贴绩效目标表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13032226P00227310031F</w:t>
            </w:r>
          </w:p>
        </w:tc>
        <w:tc>
          <w:tcPr>
            <w:tcW w:w="2835" w:type="dxa"/>
            <w:vAlign w:val="center"/>
          </w:tcPr>
          <w:p>
            <w:pPr>
              <w:pStyle w:val="11"/>
            </w:pPr>
            <w:r>
              <w:t>项目名称</w:t>
            </w:r>
          </w:p>
        </w:tc>
        <w:tc>
          <w:tcPr>
            <w:tcW w:w="6095" w:type="dxa"/>
            <w:gridSpan w:val="3"/>
            <w:vAlign w:val="center"/>
          </w:tcPr>
          <w:p>
            <w:pPr>
              <w:pStyle w:val="13"/>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1.01</w:t>
            </w:r>
          </w:p>
        </w:tc>
        <w:tc>
          <w:tcPr>
            <w:tcW w:w="2835" w:type="dxa"/>
            <w:vAlign w:val="center"/>
          </w:tcPr>
          <w:p>
            <w:pPr>
              <w:pStyle w:val="11"/>
            </w:pPr>
            <w:r>
              <w:t>其中：财政    资金</w:t>
            </w:r>
          </w:p>
        </w:tc>
        <w:tc>
          <w:tcPr>
            <w:tcW w:w="2551" w:type="dxa"/>
            <w:vAlign w:val="center"/>
          </w:tcPr>
          <w:p>
            <w:pPr>
              <w:pStyle w:val="13"/>
            </w:pPr>
            <w:r>
              <w:t>1.01</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主要用于国防公路工役制人员生活补贴发放。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1.通过发放国防公路工役制人员生活补助，使国防公路工役制人员权益得到保障，达到使其正常开展工作、生活的效果。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参建人员人数</w:t>
            </w:r>
          </w:p>
        </w:tc>
        <w:tc>
          <w:tcPr>
            <w:tcW w:w="5386" w:type="dxa"/>
            <w:vAlign w:val="center"/>
          </w:tcPr>
          <w:p>
            <w:pPr>
              <w:pStyle w:val="13"/>
            </w:pPr>
            <w:r>
              <w:t>国防工役制人员人数</w:t>
            </w:r>
          </w:p>
        </w:tc>
        <w:tc>
          <w:tcPr>
            <w:tcW w:w="2268" w:type="dxa"/>
            <w:vAlign w:val="center"/>
          </w:tcPr>
          <w:p>
            <w:pPr>
              <w:pStyle w:val="13"/>
            </w:pPr>
            <w:r>
              <w:t>3人</w:t>
            </w:r>
          </w:p>
        </w:tc>
        <w:tc>
          <w:tcPr>
            <w:tcW w:w="1276" w:type="dxa"/>
            <w:vAlign w:val="center"/>
          </w:tcPr>
          <w:p>
            <w:pPr>
              <w:pStyle w:val="13"/>
            </w:pPr>
            <w:r>
              <w:t>资金发放表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补助资金发放率</w:t>
            </w:r>
          </w:p>
        </w:tc>
        <w:tc>
          <w:tcPr>
            <w:tcW w:w="5386" w:type="dxa"/>
            <w:vAlign w:val="center"/>
          </w:tcPr>
          <w:p>
            <w:pPr>
              <w:pStyle w:val="13"/>
            </w:pPr>
            <w:r>
              <w:t>实际拨付国防工役制人员资金数占全部拨付数的比率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参建人员补贴发放及时率</w:t>
            </w:r>
          </w:p>
        </w:tc>
        <w:tc>
          <w:tcPr>
            <w:tcW w:w="5386" w:type="dxa"/>
            <w:vAlign w:val="center"/>
          </w:tcPr>
          <w:p>
            <w:pPr>
              <w:pStyle w:val="13"/>
            </w:pPr>
            <w:r>
              <w:t>按时发放补贴的金额占实际到位金额的比例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国防工役制人员年补贴标准</w:t>
            </w:r>
          </w:p>
        </w:tc>
        <w:tc>
          <w:tcPr>
            <w:tcW w:w="5386" w:type="dxa"/>
            <w:vAlign w:val="center"/>
          </w:tcPr>
          <w:p>
            <w:pPr>
              <w:pStyle w:val="13"/>
            </w:pPr>
            <w:r>
              <w:t>每年发放的国防工役制人员补助标准</w:t>
            </w:r>
          </w:p>
        </w:tc>
        <w:tc>
          <w:tcPr>
            <w:tcW w:w="2268" w:type="dxa"/>
            <w:vAlign w:val="center"/>
          </w:tcPr>
          <w:p>
            <w:pPr>
              <w:pStyle w:val="13"/>
            </w:pPr>
            <w:r>
              <w:t>≤3364.8元/人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提高国防工役制人员年收入</w:t>
            </w:r>
          </w:p>
        </w:tc>
        <w:tc>
          <w:tcPr>
            <w:tcW w:w="5386" w:type="dxa"/>
            <w:vAlign w:val="center"/>
          </w:tcPr>
          <w:p>
            <w:pPr>
              <w:pStyle w:val="13"/>
            </w:pPr>
            <w:r>
              <w:t>国防工役制人员每年收入增加额</w:t>
            </w:r>
          </w:p>
        </w:tc>
        <w:tc>
          <w:tcPr>
            <w:tcW w:w="2268" w:type="dxa"/>
            <w:vAlign w:val="center"/>
          </w:tcPr>
          <w:p>
            <w:pPr>
              <w:pStyle w:val="13"/>
            </w:pPr>
            <w:r>
              <w:t>≥0.33万元/人/年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提高国防工作水平</w:t>
            </w:r>
          </w:p>
        </w:tc>
        <w:tc>
          <w:tcPr>
            <w:tcW w:w="5386" w:type="dxa"/>
            <w:vAlign w:val="center"/>
          </w:tcPr>
          <w:p>
            <w:pPr>
              <w:pStyle w:val="13"/>
            </w:pPr>
            <w:r>
              <w:t>对国防工作水平的影响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国防工程参建人员补贴的可持续影响</w:t>
            </w:r>
          </w:p>
        </w:tc>
        <w:tc>
          <w:tcPr>
            <w:tcW w:w="5386" w:type="dxa"/>
            <w:vAlign w:val="center"/>
          </w:tcPr>
          <w:p>
            <w:pPr>
              <w:pStyle w:val="13"/>
            </w:pPr>
            <w:r>
              <w:t>国防工程参建人员补贴的发放，对区域内国防工作发挥作用的时限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国防工役制人员满意度</w:t>
            </w:r>
          </w:p>
        </w:tc>
        <w:tc>
          <w:tcPr>
            <w:tcW w:w="5386" w:type="dxa"/>
            <w:vAlign w:val="center"/>
          </w:tcPr>
          <w:p>
            <w:pPr>
              <w:pStyle w:val="13"/>
            </w:pPr>
            <w:r>
              <w:t>调查中满意或较满意的参建人员占被调查参建人员的比率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5、2026年县级下沉工作队综合经费绩效目标表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13032226P002253100196</w:t>
            </w:r>
          </w:p>
        </w:tc>
        <w:tc>
          <w:tcPr>
            <w:tcW w:w="2835" w:type="dxa"/>
            <w:vAlign w:val="center"/>
          </w:tcPr>
          <w:p>
            <w:pPr>
              <w:pStyle w:val="11"/>
            </w:pPr>
            <w:r>
              <w:t>项目名称</w:t>
            </w:r>
          </w:p>
        </w:tc>
        <w:tc>
          <w:tcPr>
            <w:tcW w:w="6095" w:type="dxa"/>
            <w:gridSpan w:val="3"/>
            <w:vAlign w:val="center"/>
          </w:tcPr>
          <w:p>
            <w:pPr>
              <w:pStyle w:val="13"/>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用于驻村工作队工作及日常生活经费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1.加大乡村振兴力度，更好</w:t>
            </w:r>
            <w:r>
              <w:rPr>
                <w:rFonts w:hint="eastAsia"/>
                <w:lang w:eastAsia="zh-CN"/>
              </w:rPr>
              <w:t>地</w:t>
            </w:r>
            <w:r>
              <w:t>为百姓服务，提高村集体收入；确保驻村工作队经费，保障驻村工作队开展日常工作需求。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补助村数</w:t>
            </w:r>
          </w:p>
        </w:tc>
        <w:tc>
          <w:tcPr>
            <w:tcW w:w="5386" w:type="dxa"/>
            <w:vAlign w:val="center"/>
          </w:tcPr>
          <w:p>
            <w:pPr>
              <w:pStyle w:val="13"/>
            </w:pPr>
            <w:r>
              <w:t>补助村数数量</w:t>
            </w:r>
          </w:p>
        </w:tc>
        <w:tc>
          <w:tcPr>
            <w:tcW w:w="2268" w:type="dxa"/>
            <w:vAlign w:val="center"/>
          </w:tcPr>
          <w:p>
            <w:pPr>
              <w:pStyle w:val="13"/>
            </w:pPr>
            <w:r>
              <w:t>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实际为民服务事项个数占计划个数的比率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为民服务事项完成及时率</w:t>
            </w:r>
          </w:p>
        </w:tc>
        <w:tc>
          <w:tcPr>
            <w:tcW w:w="5386" w:type="dxa"/>
            <w:vAlign w:val="center"/>
          </w:tcPr>
          <w:p>
            <w:pPr>
              <w:pStyle w:val="13"/>
            </w:pPr>
            <w:r>
              <w:t>及时完成的为民事项占全部为民事项的比率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行政村保障经费成本</w:t>
            </w:r>
          </w:p>
        </w:tc>
        <w:tc>
          <w:tcPr>
            <w:tcW w:w="2268" w:type="dxa"/>
            <w:vAlign w:val="center"/>
          </w:tcPr>
          <w:p>
            <w:pPr>
              <w:pStyle w:val="13"/>
            </w:pPr>
            <w:r>
              <w:t>≤8万元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促进村级经济的发展</w:t>
            </w:r>
          </w:p>
        </w:tc>
        <w:tc>
          <w:tcPr>
            <w:tcW w:w="5386" w:type="dxa"/>
            <w:vAlign w:val="center"/>
          </w:tcPr>
          <w:p>
            <w:pPr>
              <w:pStyle w:val="13"/>
            </w:pPr>
            <w:r>
              <w:t>促进村级经济的发展</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推动基层工作开展</w:t>
            </w:r>
          </w:p>
        </w:tc>
        <w:tc>
          <w:tcPr>
            <w:tcW w:w="5386" w:type="dxa"/>
            <w:vAlign w:val="center"/>
          </w:tcPr>
          <w:p>
            <w:pPr>
              <w:pStyle w:val="13"/>
            </w:pPr>
            <w:r>
              <w:t>推动基层工作开展</w:t>
            </w:r>
          </w:p>
        </w:tc>
        <w:tc>
          <w:tcPr>
            <w:tcW w:w="2268" w:type="dxa"/>
            <w:vAlign w:val="center"/>
          </w:tcPr>
          <w:p>
            <w:pPr>
              <w:pStyle w:val="13"/>
            </w:pPr>
            <w:r>
              <w:t>较上年推动</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调查中满意或比较满意的群众占被调查群众的比率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6、昌黎县2025年新增专项债券用于政府拖欠企业账款（6.30）-6655865030954721619-两山乡2021年沿海防护林建设项目绩效目标表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13032225P00229510083D</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昌黎县2025年新增专项债券用于政府拖欠企业账款（6.30）-6655865030954721619-两山乡2021年沿海防护林建设项目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69.00</w:t>
            </w:r>
          </w:p>
        </w:tc>
        <w:tc>
          <w:tcPr>
            <w:tcW w:w="2835" w:type="dxa"/>
            <w:vAlign w:val="center"/>
          </w:tcPr>
          <w:p>
            <w:pPr>
              <w:pStyle w:val="11"/>
            </w:pPr>
            <w:r>
              <w:t>其中：财政    资金</w:t>
            </w:r>
          </w:p>
        </w:tc>
        <w:tc>
          <w:tcPr>
            <w:tcW w:w="2551" w:type="dxa"/>
            <w:vAlign w:val="center"/>
          </w:tcPr>
          <w:p>
            <w:pPr>
              <w:pStyle w:val="13"/>
            </w:pPr>
            <w:r>
              <w:t>69.00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主要用于偿还债务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1.通过偿还政府拖欠企业欠款，提高企业收入，提高政府公信力。</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偿还企业个数</w:t>
            </w:r>
          </w:p>
        </w:tc>
        <w:tc>
          <w:tcPr>
            <w:tcW w:w="5386" w:type="dxa"/>
            <w:vAlign w:val="center"/>
          </w:tcPr>
          <w:p>
            <w:pPr>
              <w:pStyle w:val="13"/>
            </w:pPr>
            <w:r>
              <w:t>政府偿还拖欠企业欠款个数</w:t>
            </w:r>
          </w:p>
        </w:tc>
        <w:tc>
          <w:tcPr>
            <w:tcW w:w="2268" w:type="dxa"/>
            <w:vAlign w:val="center"/>
          </w:tcPr>
          <w:p>
            <w:pPr>
              <w:pStyle w:val="13"/>
            </w:pPr>
            <w:r>
              <w:t>1笔</w:t>
            </w:r>
          </w:p>
        </w:tc>
        <w:tc>
          <w:tcPr>
            <w:tcW w:w="1276" w:type="dxa"/>
            <w:vAlign w:val="center"/>
          </w:tcPr>
          <w:p>
            <w:pPr>
              <w:pStyle w:val="13"/>
            </w:pPr>
            <w:r>
              <w:t>绩效管理目标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偿还款到位率</w:t>
            </w:r>
          </w:p>
        </w:tc>
        <w:tc>
          <w:tcPr>
            <w:tcW w:w="5386" w:type="dxa"/>
            <w:vAlign w:val="center"/>
          </w:tcPr>
          <w:p>
            <w:pPr>
              <w:pStyle w:val="13"/>
            </w:pPr>
            <w:r>
              <w:t>政府偿还款到位的比率</w:t>
            </w:r>
          </w:p>
        </w:tc>
        <w:tc>
          <w:tcPr>
            <w:tcW w:w="2268" w:type="dxa"/>
            <w:vAlign w:val="center"/>
          </w:tcPr>
          <w:p>
            <w:pPr>
              <w:pStyle w:val="13"/>
            </w:pPr>
            <w:r>
              <w:t>≥90%</w:t>
            </w:r>
          </w:p>
        </w:tc>
        <w:tc>
          <w:tcPr>
            <w:tcW w:w="1276" w:type="dxa"/>
            <w:vAlign w:val="center"/>
          </w:tcPr>
          <w:p>
            <w:pPr>
              <w:pStyle w:val="13"/>
            </w:pPr>
            <w:r>
              <w:t>绩效管理目标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全部偿还款发放及时</w:t>
            </w:r>
          </w:p>
        </w:tc>
        <w:tc>
          <w:tcPr>
            <w:tcW w:w="5386" w:type="dxa"/>
            <w:vAlign w:val="center"/>
          </w:tcPr>
          <w:p>
            <w:pPr>
              <w:pStyle w:val="13"/>
            </w:pPr>
            <w:r>
              <w:t>全部偿还款发放及时率</w:t>
            </w:r>
          </w:p>
        </w:tc>
        <w:tc>
          <w:tcPr>
            <w:tcW w:w="2268" w:type="dxa"/>
            <w:vAlign w:val="center"/>
          </w:tcPr>
          <w:p>
            <w:pPr>
              <w:pStyle w:val="13"/>
            </w:pPr>
            <w:r>
              <w:t>≥90%</w:t>
            </w:r>
          </w:p>
        </w:tc>
        <w:tc>
          <w:tcPr>
            <w:tcW w:w="1276" w:type="dxa"/>
            <w:vAlign w:val="center"/>
          </w:tcPr>
          <w:p>
            <w:pPr>
              <w:pStyle w:val="13"/>
            </w:pPr>
            <w:r>
              <w:t>绩效管理目标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偿还款成本</w:t>
            </w:r>
          </w:p>
        </w:tc>
        <w:tc>
          <w:tcPr>
            <w:tcW w:w="5386" w:type="dxa"/>
            <w:vAlign w:val="center"/>
          </w:tcPr>
          <w:p>
            <w:pPr>
              <w:pStyle w:val="13"/>
            </w:pPr>
            <w:r>
              <w:t>偿还款保障标准</w:t>
            </w:r>
          </w:p>
        </w:tc>
        <w:tc>
          <w:tcPr>
            <w:tcW w:w="2268" w:type="dxa"/>
            <w:vAlign w:val="center"/>
          </w:tcPr>
          <w:p>
            <w:pPr>
              <w:pStyle w:val="13"/>
            </w:pPr>
            <w:r>
              <w:t>69万元</w:t>
            </w:r>
          </w:p>
        </w:tc>
        <w:tc>
          <w:tcPr>
            <w:tcW w:w="1276" w:type="dxa"/>
            <w:vAlign w:val="center"/>
          </w:tcPr>
          <w:p>
            <w:pPr>
              <w:pStyle w:val="13"/>
            </w:pPr>
            <w:r>
              <w:t>绩效管理目标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提高企业收入</w:t>
            </w:r>
          </w:p>
        </w:tc>
        <w:tc>
          <w:tcPr>
            <w:tcW w:w="5386" w:type="dxa"/>
            <w:vAlign w:val="center"/>
          </w:tcPr>
          <w:p>
            <w:pPr>
              <w:pStyle w:val="13"/>
            </w:pPr>
            <w:r>
              <w:t>通过偿还款的发放提高企业收入</w:t>
            </w:r>
          </w:p>
        </w:tc>
        <w:tc>
          <w:tcPr>
            <w:tcW w:w="2268" w:type="dxa"/>
            <w:vAlign w:val="center"/>
          </w:tcPr>
          <w:p>
            <w:pPr>
              <w:pStyle w:val="13"/>
            </w:pPr>
            <w:r>
              <w:t>较上年提高</w:t>
            </w:r>
          </w:p>
        </w:tc>
        <w:tc>
          <w:tcPr>
            <w:tcW w:w="1276" w:type="dxa"/>
            <w:vAlign w:val="center"/>
          </w:tcPr>
          <w:p>
            <w:pPr>
              <w:pStyle w:val="13"/>
            </w:pPr>
            <w:r>
              <w:t>绩效管理目标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提高政府公信力</w:t>
            </w:r>
          </w:p>
        </w:tc>
        <w:tc>
          <w:tcPr>
            <w:tcW w:w="5386" w:type="dxa"/>
            <w:vAlign w:val="center"/>
          </w:tcPr>
          <w:p>
            <w:pPr>
              <w:pStyle w:val="13"/>
            </w:pPr>
            <w:r>
              <w:t>通过偿还款的发放提高政府公信力</w:t>
            </w:r>
          </w:p>
        </w:tc>
        <w:tc>
          <w:tcPr>
            <w:tcW w:w="2268" w:type="dxa"/>
            <w:vAlign w:val="center"/>
          </w:tcPr>
          <w:p>
            <w:pPr>
              <w:pStyle w:val="13"/>
            </w:pPr>
            <w:r>
              <w:t>较上年提高</w:t>
            </w:r>
          </w:p>
        </w:tc>
        <w:tc>
          <w:tcPr>
            <w:tcW w:w="1276" w:type="dxa"/>
            <w:vAlign w:val="center"/>
          </w:tcPr>
          <w:p>
            <w:pPr>
              <w:pStyle w:val="13"/>
            </w:pPr>
            <w:r>
              <w:t>绩效管理目标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调查中满意或比较满意的企业占被调查的企业的比率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7、昌黎县农村地区清洁取暖运行补贴”气代煤“运行补贴绩效目标表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13032226P00223610015A</w:t>
            </w:r>
          </w:p>
        </w:tc>
        <w:tc>
          <w:tcPr>
            <w:tcW w:w="2835" w:type="dxa"/>
            <w:vAlign w:val="center"/>
          </w:tcPr>
          <w:p>
            <w:pPr>
              <w:pStyle w:val="11"/>
            </w:pPr>
            <w:r>
              <w:t>项目名称</w:t>
            </w:r>
          </w:p>
        </w:tc>
        <w:tc>
          <w:tcPr>
            <w:tcW w:w="6095" w:type="dxa"/>
            <w:gridSpan w:val="3"/>
            <w:vAlign w:val="center"/>
          </w:tcPr>
          <w:p>
            <w:pPr>
              <w:pStyle w:val="13"/>
            </w:pPr>
            <w:r>
              <w:t>昌黎县农村地区清洁取暖运行补贴”气代煤“运行补贴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65.15</w:t>
            </w:r>
          </w:p>
        </w:tc>
        <w:tc>
          <w:tcPr>
            <w:tcW w:w="2835" w:type="dxa"/>
            <w:vAlign w:val="center"/>
          </w:tcPr>
          <w:p>
            <w:pPr>
              <w:pStyle w:val="11"/>
            </w:pPr>
            <w:r>
              <w:t>其中：财政    资金</w:t>
            </w:r>
          </w:p>
        </w:tc>
        <w:tc>
          <w:tcPr>
            <w:tcW w:w="2551" w:type="dxa"/>
            <w:vAlign w:val="center"/>
          </w:tcPr>
          <w:p>
            <w:pPr>
              <w:pStyle w:val="13"/>
            </w:pPr>
            <w:r>
              <w:t>65.15</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用于发放农村清洁取暖运行补贴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1.通过气代煤运行补贴的发放，提高百姓收入，增加人民生活幸福感。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气代煤运行补贴覆盖村数</w:t>
            </w:r>
          </w:p>
        </w:tc>
        <w:tc>
          <w:tcPr>
            <w:tcW w:w="5386" w:type="dxa"/>
            <w:vAlign w:val="center"/>
          </w:tcPr>
          <w:p>
            <w:pPr>
              <w:pStyle w:val="13"/>
            </w:pPr>
            <w:r>
              <w:t>本年度享受气代煤运行补贴的村庄数</w:t>
            </w:r>
          </w:p>
        </w:tc>
        <w:tc>
          <w:tcPr>
            <w:tcW w:w="2268" w:type="dxa"/>
            <w:vAlign w:val="center"/>
          </w:tcPr>
          <w:p>
            <w:pPr>
              <w:pStyle w:val="13"/>
            </w:pPr>
            <w:r>
              <w:t>13个村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补贴资金发放率</w:t>
            </w:r>
          </w:p>
        </w:tc>
        <w:tc>
          <w:tcPr>
            <w:tcW w:w="5386" w:type="dxa"/>
            <w:vAlign w:val="center"/>
          </w:tcPr>
          <w:p>
            <w:pPr>
              <w:pStyle w:val="13"/>
            </w:pPr>
            <w:r>
              <w:t>实际拨付的补贴资金占应发放资金的比率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补贴资金发放及时率</w:t>
            </w:r>
          </w:p>
        </w:tc>
        <w:tc>
          <w:tcPr>
            <w:tcW w:w="5386" w:type="dxa"/>
            <w:vAlign w:val="center"/>
          </w:tcPr>
          <w:p>
            <w:pPr>
              <w:pStyle w:val="13"/>
            </w:pPr>
            <w:r>
              <w:t>按规定发放的补贴资金占实际发放资金比率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气代煤运行补贴单位成本</w:t>
            </w:r>
          </w:p>
        </w:tc>
        <w:tc>
          <w:tcPr>
            <w:tcW w:w="5386" w:type="dxa"/>
            <w:vAlign w:val="center"/>
          </w:tcPr>
          <w:p>
            <w:pPr>
              <w:pStyle w:val="13"/>
            </w:pPr>
            <w:r>
              <w:t>年发放气代煤运行补贴成本</w:t>
            </w:r>
          </w:p>
        </w:tc>
        <w:tc>
          <w:tcPr>
            <w:tcW w:w="2268" w:type="dxa"/>
            <w:vAlign w:val="center"/>
          </w:tcPr>
          <w:p>
            <w:pPr>
              <w:pStyle w:val="13"/>
            </w:pPr>
            <w:r>
              <w:t>≤65.15万元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提高村民收入</w:t>
            </w:r>
          </w:p>
        </w:tc>
        <w:tc>
          <w:tcPr>
            <w:tcW w:w="5386" w:type="dxa"/>
            <w:vAlign w:val="center"/>
          </w:tcPr>
          <w:p>
            <w:pPr>
              <w:pStyle w:val="13"/>
            </w:pPr>
            <w:r>
              <w:t>享受气代煤运行补贴的村每年收入增加额</w:t>
            </w:r>
          </w:p>
        </w:tc>
        <w:tc>
          <w:tcPr>
            <w:tcW w:w="2268" w:type="dxa"/>
            <w:vAlign w:val="center"/>
          </w:tcPr>
          <w:p>
            <w:pPr>
              <w:pStyle w:val="13"/>
            </w:pPr>
            <w:r>
              <w:t>≥65.15万元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农村清洁能源普及率提升</w:t>
            </w:r>
          </w:p>
        </w:tc>
        <w:tc>
          <w:tcPr>
            <w:tcW w:w="5386" w:type="dxa"/>
            <w:vAlign w:val="center"/>
          </w:tcPr>
          <w:p>
            <w:pPr>
              <w:pStyle w:val="13"/>
            </w:pPr>
            <w:r>
              <w:t>农村清洁能源普及率提升</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农户对补贴发放工作满意度</w:t>
            </w:r>
          </w:p>
        </w:tc>
        <w:tc>
          <w:tcPr>
            <w:tcW w:w="5386" w:type="dxa"/>
            <w:vAlign w:val="center"/>
          </w:tcPr>
          <w:p>
            <w:pPr>
              <w:pStyle w:val="13"/>
            </w:pPr>
            <w:r>
              <w:t>调查中满意或较满意的领取补贴村民占被调查领取补贴村民的比率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13032226P00225210347Q</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16.94</w:t>
            </w:r>
          </w:p>
        </w:tc>
        <w:tc>
          <w:tcPr>
            <w:tcW w:w="2835" w:type="dxa"/>
            <w:vAlign w:val="center"/>
          </w:tcPr>
          <w:p>
            <w:pPr>
              <w:pStyle w:val="11"/>
            </w:pPr>
            <w:r>
              <w:t>其中：财政    资金</w:t>
            </w:r>
          </w:p>
        </w:tc>
        <w:tc>
          <w:tcPr>
            <w:tcW w:w="2551" w:type="dxa"/>
            <w:vAlign w:val="center"/>
          </w:tcPr>
          <w:p>
            <w:pPr>
              <w:pStyle w:val="13"/>
            </w:pPr>
            <w:r>
              <w:t>16.94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主要用于村级党组织建设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1.通过各村党员人数按标准拨付，达到保证村党组织活动正常进行的效果；通过村级党组织开展培训学习，达到提高村党组织活动运行的效率的效果。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开展学习培训次数</w:t>
            </w:r>
          </w:p>
        </w:tc>
        <w:tc>
          <w:tcPr>
            <w:tcW w:w="5386" w:type="dxa"/>
            <w:vAlign w:val="center"/>
          </w:tcPr>
          <w:p>
            <w:pPr>
              <w:pStyle w:val="13"/>
            </w:pPr>
            <w:r>
              <w:t>组织开展学习培训的次数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学习培训参与率</w:t>
            </w:r>
          </w:p>
        </w:tc>
        <w:tc>
          <w:tcPr>
            <w:tcW w:w="5386" w:type="dxa"/>
            <w:vAlign w:val="center"/>
          </w:tcPr>
          <w:p>
            <w:pPr>
              <w:pStyle w:val="13"/>
            </w:pPr>
            <w:r>
              <w:t>参加学习培训人员占全部党员人数的比率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按时发放资金占实际到位资金的比例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每个党员每年应享受的保障标准</w:t>
            </w:r>
          </w:p>
        </w:tc>
        <w:tc>
          <w:tcPr>
            <w:tcW w:w="2268" w:type="dxa"/>
            <w:vAlign w:val="center"/>
          </w:tcPr>
          <w:p>
            <w:pPr>
              <w:pStyle w:val="13"/>
            </w:pPr>
            <w:r>
              <w:t>≤200元/人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保障村党支部组织党员活动率</w:t>
            </w:r>
          </w:p>
        </w:tc>
        <w:tc>
          <w:tcPr>
            <w:tcW w:w="5386" w:type="dxa"/>
            <w:vAlign w:val="center"/>
          </w:tcPr>
          <w:p>
            <w:pPr>
              <w:pStyle w:val="13"/>
            </w:pPr>
            <w:r>
              <w:t>村党支部组织党员活动占全年的比率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办公期间节约水电等能源情况</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村级党组织活动经费的可持续影响</w:t>
            </w:r>
          </w:p>
        </w:tc>
        <w:tc>
          <w:tcPr>
            <w:tcW w:w="5386" w:type="dxa"/>
            <w:vAlign w:val="center"/>
          </w:tcPr>
          <w:p>
            <w:pPr>
              <w:pStyle w:val="13"/>
            </w:pPr>
            <w:r>
              <w:t>村级党组组活动经费发放，保障村党支部正常开展活动的时限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村级党组织成员满意度</w:t>
            </w:r>
          </w:p>
        </w:tc>
        <w:tc>
          <w:tcPr>
            <w:tcW w:w="5386" w:type="dxa"/>
            <w:vAlign w:val="center"/>
          </w:tcPr>
          <w:p>
            <w:pPr>
              <w:pStyle w:val="13"/>
            </w:pPr>
            <w:r>
              <w:t>调查中满意或较满意的村级党组织成员占被调查村级党组织成员的比率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9、村党组织书记、村民委员会主任基础补贴绩效目标表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13032226P00225210350B</w:t>
            </w:r>
          </w:p>
        </w:tc>
        <w:tc>
          <w:tcPr>
            <w:tcW w:w="2835" w:type="dxa"/>
            <w:vAlign w:val="center"/>
          </w:tcPr>
          <w:p>
            <w:pPr>
              <w:pStyle w:val="11"/>
            </w:pPr>
            <w:r>
              <w:t>项目名称</w:t>
            </w:r>
          </w:p>
        </w:tc>
        <w:tc>
          <w:tcPr>
            <w:tcW w:w="6095" w:type="dxa"/>
            <w:gridSpan w:val="3"/>
            <w:vAlign w:val="center"/>
          </w:tcPr>
          <w:p>
            <w:pPr>
              <w:pStyle w:val="13"/>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85.17</w:t>
            </w:r>
          </w:p>
        </w:tc>
        <w:tc>
          <w:tcPr>
            <w:tcW w:w="2835" w:type="dxa"/>
            <w:vAlign w:val="center"/>
          </w:tcPr>
          <w:p>
            <w:pPr>
              <w:pStyle w:val="11"/>
            </w:pPr>
            <w:r>
              <w:t>其中：财政    资金</w:t>
            </w:r>
          </w:p>
        </w:tc>
        <w:tc>
          <w:tcPr>
            <w:tcW w:w="2551" w:type="dxa"/>
            <w:vAlign w:val="center"/>
          </w:tcPr>
          <w:p>
            <w:pPr>
              <w:pStyle w:val="13"/>
            </w:pPr>
            <w:r>
              <w:t>85.17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主要用于村党组织书记、村民委员会主任发放基础职务补贴。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通过发放为乡16个行政村配齐1名一人兼正职村干部和4-5名副职村干部基础职务补贴，达到保障村干部基础职务补贴发放的效果；通过落实全乡16个行政村村干部的基础职务补贴，达到保障一人兼正职补贴每年不低于53232元，保障村级行政能力的效果。 </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享受补贴的人数</w:t>
            </w:r>
          </w:p>
        </w:tc>
        <w:tc>
          <w:tcPr>
            <w:tcW w:w="2268" w:type="dxa"/>
            <w:vAlign w:val="center"/>
          </w:tcPr>
          <w:p>
            <w:pPr>
              <w:pStyle w:val="13"/>
            </w:pPr>
            <w:r>
              <w:t>16人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tc>
        <w:tc>
          <w:tcPr>
            <w:tcW w:w="5386" w:type="dxa"/>
            <w:vAlign w:val="center"/>
          </w:tcPr>
          <w:p>
            <w:pPr>
              <w:pStyle w:val="13"/>
            </w:pPr>
            <w:r>
              <w:t>按时发放补贴资金占实际到位资金的比例</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村书记、村主任年补贴标准</w:t>
            </w:r>
          </w:p>
        </w:tc>
        <w:tc>
          <w:tcPr>
            <w:tcW w:w="2268" w:type="dxa"/>
            <w:vAlign w:val="center"/>
          </w:tcPr>
          <w:p>
            <w:pPr>
              <w:pStyle w:val="13"/>
            </w:pPr>
            <w:r>
              <w:t>≤53232元/人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提高村级行政单位办公能力</w:t>
            </w:r>
          </w:p>
        </w:tc>
        <w:tc>
          <w:tcPr>
            <w:tcW w:w="5386" w:type="dxa"/>
            <w:vAlign w:val="center"/>
          </w:tcPr>
          <w:p>
            <w:pPr>
              <w:pStyle w:val="13"/>
            </w:pPr>
            <w:r>
              <w:t>发放村干部工资补贴，提高村级行政单位办公能力</w:t>
            </w:r>
          </w:p>
        </w:tc>
        <w:tc>
          <w:tcPr>
            <w:tcW w:w="2268" w:type="dxa"/>
            <w:vAlign w:val="center"/>
          </w:tcPr>
          <w:p>
            <w:pPr>
              <w:pStyle w:val="13"/>
            </w:pPr>
            <w:r>
              <w:t>不低于上年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不低于上年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tc>
        <w:tc>
          <w:tcPr>
            <w:tcW w:w="5386" w:type="dxa"/>
            <w:vAlign w:val="center"/>
          </w:tcPr>
          <w:p>
            <w:pPr>
              <w:pStyle w:val="13"/>
            </w:pPr>
            <w:r>
              <w:t>村干部补贴发放，保障村委会稳定发展的时限</w:t>
            </w:r>
          </w:p>
        </w:tc>
        <w:tc>
          <w:tcPr>
            <w:tcW w:w="2268" w:type="dxa"/>
            <w:vAlign w:val="center"/>
          </w:tcPr>
          <w:p>
            <w:pPr>
              <w:pStyle w:val="13"/>
            </w:pPr>
            <w:r>
              <w:t>≥1年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调查中满意或较满意的村干部占被调查村干部的比率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13032226P002252103465</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主要用于村级日常办公经费的支出</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1.通过及时缴纳网络维护费用，达到保障村级服务站的网上办公需求的效果；通过确保村级水电暖等费用及时支付，达到保证村级组织的正常运转的效果。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保障行政村办公数量</w:t>
            </w:r>
          </w:p>
        </w:tc>
        <w:tc>
          <w:tcPr>
            <w:tcW w:w="5386" w:type="dxa"/>
            <w:vAlign w:val="center"/>
          </w:tcPr>
          <w:p>
            <w:pPr>
              <w:pStyle w:val="13"/>
            </w:pPr>
            <w:r>
              <w:t>享受村级办公经费保障办公的村委会个数</w:t>
            </w:r>
          </w:p>
        </w:tc>
        <w:tc>
          <w:tcPr>
            <w:tcW w:w="2268" w:type="dxa"/>
            <w:vAlign w:val="center"/>
          </w:tcPr>
          <w:p>
            <w:pPr>
              <w:pStyle w:val="13"/>
            </w:pPr>
            <w:r>
              <w:t>16个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办公经费发放率</w:t>
            </w:r>
          </w:p>
        </w:tc>
        <w:tc>
          <w:tcPr>
            <w:tcW w:w="5386" w:type="dxa"/>
            <w:vAlign w:val="center"/>
          </w:tcPr>
          <w:p>
            <w:pPr>
              <w:pStyle w:val="13"/>
            </w:pPr>
            <w:r>
              <w:t>发放办公经费数占办公经费总数的比率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各事项费用支付及时率</w:t>
            </w:r>
          </w:p>
        </w:tc>
        <w:tc>
          <w:tcPr>
            <w:tcW w:w="5386" w:type="dxa"/>
            <w:vAlign w:val="center"/>
          </w:tcPr>
          <w:p>
            <w:pPr>
              <w:pStyle w:val="13"/>
            </w:pPr>
            <w:r>
              <w:t>及时支付村级办公经费金额占实际到位办公经费金额的比例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发放办公经费成本</w:t>
            </w:r>
          </w:p>
        </w:tc>
        <w:tc>
          <w:tcPr>
            <w:tcW w:w="5386" w:type="dxa"/>
            <w:vAlign w:val="center"/>
          </w:tcPr>
          <w:p>
            <w:pPr>
              <w:pStyle w:val="13"/>
            </w:pPr>
            <w:r>
              <w:t>村级办公经费保障村标准</w:t>
            </w:r>
          </w:p>
        </w:tc>
        <w:tc>
          <w:tcPr>
            <w:tcW w:w="2268" w:type="dxa"/>
            <w:vAlign w:val="center"/>
          </w:tcPr>
          <w:p>
            <w:pPr>
              <w:pStyle w:val="13"/>
            </w:pPr>
            <w:r>
              <w:t>≤5000元/村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提高村委会行政办公效率</w:t>
            </w:r>
          </w:p>
        </w:tc>
        <w:tc>
          <w:tcPr>
            <w:tcW w:w="5386" w:type="dxa"/>
            <w:vAlign w:val="center"/>
          </w:tcPr>
          <w:p>
            <w:pPr>
              <w:pStyle w:val="13"/>
            </w:pPr>
            <w:r>
              <w:t>及时足额拨付村级办公经费，提高村级行政单位办公能力</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村级办公经费的可持续影响</w:t>
            </w:r>
          </w:p>
        </w:tc>
        <w:tc>
          <w:tcPr>
            <w:tcW w:w="5386" w:type="dxa"/>
            <w:vAlign w:val="center"/>
          </w:tcPr>
          <w:p>
            <w:pPr>
              <w:pStyle w:val="13"/>
            </w:pPr>
            <w:r>
              <w:t>村级办公经费发放，保障村委会正常运转办公的时限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11、服务群众专项经费-农村环卫保洁员工资绩效目标表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13032226P002252102168</w:t>
            </w:r>
          </w:p>
        </w:tc>
        <w:tc>
          <w:tcPr>
            <w:tcW w:w="2835" w:type="dxa"/>
            <w:vAlign w:val="center"/>
          </w:tcPr>
          <w:p>
            <w:pPr>
              <w:pStyle w:val="11"/>
            </w:pPr>
            <w:r>
              <w:t>项目名称</w:t>
            </w:r>
          </w:p>
        </w:tc>
        <w:tc>
          <w:tcPr>
            <w:tcW w:w="6095" w:type="dxa"/>
            <w:gridSpan w:val="3"/>
            <w:vAlign w:val="center"/>
          </w:tcPr>
          <w:p>
            <w:pPr>
              <w:pStyle w:val="13"/>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63.17</w:t>
            </w:r>
          </w:p>
        </w:tc>
        <w:tc>
          <w:tcPr>
            <w:tcW w:w="2835" w:type="dxa"/>
            <w:vAlign w:val="center"/>
          </w:tcPr>
          <w:p>
            <w:pPr>
              <w:pStyle w:val="11"/>
            </w:pPr>
            <w:r>
              <w:t>其中：财政    资金</w:t>
            </w:r>
          </w:p>
        </w:tc>
        <w:tc>
          <w:tcPr>
            <w:tcW w:w="2551" w:type="dxa"/>
            <w:vAlign w:val="center"/>
          </w:tcPr>
          <w:p>
            <w:pPr>
              <w:pStyle w:val="13"/>
            </w:pPr>
            <w:r>
              <w:t>63.17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主要用于农村环卫保洁员工资发放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1.通过环卫经费的拨付，保持两山乡环境，展示昌黎县良好形象；提高百姓生活质量，为百姓创造良好生活环境。</w:t>
            </w:r>
            <w:r>
              <w:tab/>
            </w:r>
            <w:r>
              <w:tab/>
            </w:r>
            <w:r>
              <w:tab/>
            </w:r>
            <w:r>
              <w:tab/>
            </w:r>
            <w:r>
              <w:tab/>
            </w:r>
          </w:p>
          <w:p>
            <w:pPr>
              <w:pStyle w:val="13"/>
            </w:pP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环境整治村庄数量</w:t>
            </w:r>
          </w:p>
        </w:tc>
        <w:tc>
          <w:tcPr>
            <w:tcW w:w="5386" w:type="dxa"/>
            <w:vAlign w:val="center"/>
          </w:tcPr>
          <w:p>
            <w:pPr>
              <w:pStyle w:val="13"/>
            </w:pPr>
            <w:r>
              <w:t>享受农村环卫保洁员保障的村庄数量</w:t>
            </w:r>
          </w:p>
        </w:tc>
        <w:tc>
          <w:tcPr>
            <w:tcW w:w="2268" w:type="dxa"/>
            <w:vAlign w:val="center"/>
          </w:tcPr>
          <w:p>
            <w:pPr>
              <w:pStyle w:val="13"/>
            </w:pPr>
            <w:r>
              <w:t>16个</w:t>
            </w:r>
          </w:p>
        </w:tc>
        <w:tc>
          <w:tcPr>
            <w:tcW w:w="1276" w:type="dxa"/>
            <w:vAlign w:val="center"/>
          </w:tcPr>
          <w:p>
            <w:pPr>
              <w:pStyle w:val="13"/>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已整治的区域面积占全区应整治区域面积的比例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环境整治工资标准</w:t>
            </w:r>
          </w:p>
        </w:tc>
        <w:tc>
          <w:tcPr>
            <w:tcW w:w="5386" w:type="dxa"/>
            <w:vAlign w:val="center"/>
          </w:tcPr>
          <w:p>
            <w:pPr>
              <w:pStyle w:val="13"/>
            </w:pPr>
            <w:r>
              <w:t>乡农村环卫保洁员工资标准</w:t>
            </w:r>
          </w:p>
        </w:tc>
        <w:tc>
          <w:tcPr>
            <w:tcW w:w="2268" w:type="dxa"/>
            <w:vAlign w:val="center"/>
          </w:tcPr>
          <w:p>
            <w:pPr>
              <w:pStyle w:val="13"/>
            </w:pPr>
            <w:r>
              <w:t>≤63.16万元/年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对经济发展质量的影响</w:t>
            </w:r>
          </w:p>
        </w:tc>
        <w:tc>
          <w:tcPr>
            <w:tcW w:w="5386" w:type="dxa"/>
            <w:vAlign w:val="center"/>
          </w:tcPr>
          <w:p>
            <w:pPr>
              <w:pStyle w:val="13"/>
            </w:pPr>
            <w:r>
              <w:t>项目实施对经济发展质量的影响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对农村人居环境的影响</w:t>
            </w:r>
          </w:p>
        </w:tc>
        <w:tc>
          <w:tcPr>
            <w:tcW w:w="5386" w:type="dxa"/>
            <w:vAlign w:val="center"/>
          </w:tcPr>
          <w:p>
            <w:pPr>
              <w:pStyle w:val="13"/>
            </w:pPr>
            <w:r>
              <w:t>对农村人居环境的影响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农村环卫工作的可持续性</w:t>
            </w:r>
          </w:p>
        </w:tc>
        <w:tc>
          <w:tcPr>
            <w:tcW w:w="5386" w:type="dxa"/>
            <w:vAlign w:val="center"/>
          </w:tcPr>
          <w:p>
            <w:pPr>
              <w:pStyle w:val="13"/>
            </w:pPr>
            <w:r>
              <w:t>农村环卫工作经费发放，保障村委会正常运转办公的时限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12、服务群众专项经费-农村垃圾治理保洁服务费绩效目标表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13032226P002252102141</w:t>
            </w:r>
          </w:p>
        </w:tc>
        <w:tc>
          <w:tcPr>
            <w:tcW w:w="2835" w:type="dxa"/>
            <w:vAlign w:val="center"/>
          </w:tcPr>
          <w:p>
            <w:pPr>
              <w:pStyle w:val="11"/>
            </w:pPr>
            <w:r>
              <w:t>项目名称</w:t>
            </w:r>
          </w:p>
        </w:tc>
        <w:tc>
          <w:tcPr>
            <w:tcW w:w="6095" w:type="dxa"/>
            <w:gridSpan w:val="3"/>
            <w:vAlign w:val="center"/>
          </w:tcPr>
          <w:p>
            <w:pPr>
              <w:pStyle w:val="13"/>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44.75</w:t>
            </w:r>
          </w:p>
        </w:tc>
        <w:tc>
          <w:tcPr>
            <w:tcW w:w="2835" w:type="dxa"/>
            <w:vAlign w:val="center"/>
          </w:tcPr>
          <w:p>
            <w:pPr>
              <w:pStyle w:val="11"/>
            </w:pPr>
            <w:r>
              <w:t>其中：财政    资金</w:t>
            </w:r>
          </w:p>
        </w:tc>
        <w:tc>
          <w:tcPr>
            <w:tcW w:w="2551" w:type="dxa"/>
            <w:vAlign w:val="center"/>
          </w:tcPr>
          <w:p>
            <w:pPr>
              <w:pStyle w:val="13"/>
            </w:pPr>
            <w:r>
              <w:t>44.75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主要用于农村垃圾清理各项支出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1.通过农村环卫工作，保持两山乡环境，展示昌黎县良好形象；提高百姓生活质量，为百姓创造良好生活环境</w:t>
            </w:r>
            <w:r>
              <w:tab/>
            </w:r>
            <w:r>
              <w:t>。</w:t>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环境整治村庄数量</w:t>
            </w:r>
          </w:p>
        </w:tc>
        <w:tc>
          <w:tcPr>
            <w:tcW w:w="5386" w:type="dxa"/>
            <w:vAlign w:val="center"/>
          </w:tcPr>
          <w:p>
            <w:pPr>
              <w:pStyle w:val="13"/>
            </w:pPr>
            <w:r>
              <w:t>享受整治资金保障的村庄数量</w:t>
            </w:r>
          </w:p>
        </w:tc>
        <w:tc>
          <w:tcPr>
            <w:tcW w:w="2268" w:type="dxa"/>
            <w:vAlign w:val="center"/>
          </w:tcPr>
          <w:p>
            <w:pPr>
              <w:pStyle w:val="13"/>
            </w:pPr>
            <w:r>
              <w:t>16个</w:t>
            </w:r>
          </w:p>
        </w:tc>
        <w:tc>
          <w:tcPr>
            <w:tcW w:w="1276" w:type="dxa"/>
            <w:vAlign w:val="center"/>
          </w:tcPr>
          <w:p>
            <w:pPr>
              <w:pStyle w:val="13"/>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已整治的区域面积占全区应整治区域面积的比例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环境整治标准</w:t>
            </w:r>
          </w:p>
        </w:tc>
        <w:tc>
          <w:tcPr>
            <w:tcW w:w="5386" w:type="dxa"/>
            <w:vAlign w:val="center"/>
          </w:tcPr>
          <w:p>
            <w:pPr>
              <w:pStyle w:val="13"/>
            </w:pPr>
            <w:r>
              <w:t>乡环境整治资金标准</w:t>
            </w:r>
          </w:p>
        </w:tc>
        <w:tc>
          <w:tcPr>
            <w:tcW w:w="2268" w:type="dxa"/>
            <w:vAlign w:val="center"/>
          </w:tcPr>
          <w:p>
            <w:pPr>
              <w:pStyle w:val="13"/>
            </w:pPr>
            <w:r>
              <w:t>≤44.74万元/年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对经济发展质量的影响</w:t>
            </w:r>
          </w:p>
        </w:tc>
        <w:tc>
          <w:tcPr>
            <w:tcW w:w="5386" w:type="dxa"/>
            <w:vAlign w:val="center"/>
          </w:tcPr>
          <w:p>
            <w:pPr>
              <w:pStyle w:val="13"/>
            </w:pPr>
            <w:r>
              <w:t>项目实施对经济发展质量的影响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对农村人居环境的影响</w:t>
            </w:r>
          </w:p>
        </w:tc>
        <w:tc>
          <w:tcPr>
            <w:tcW w:w="5386" w:type="dxa"/>
            <w:vAlign w:val="center"/>
          </w:tcPr>
          <w:p>
            <w:pPr>
              <w:pStyle w:val="13"/>
            </w:pPr>
            <w:r>
              <w:t>对农村人居环境的影响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农村环卫工作的可持续性</w:t>
            </w:r>
          </w:p>
        </w:tc>
        <w:tc>
          <w:tcPr>
            <w:tcW w:w="5386" w:type="dxa"/>
            <w:vAlign w:val="center"/>
          </w:tcPr>
          <w:p>
            <w:pPr>
              <w:pStyle w:val="13"/>
            </w:pPr>
            <w:r>
              <w:t>农村环卫工作经费发放，保障村委会正常运转办公的时限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13、服务群众专项经费-综合服务站绩效目标表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13032226P00225210212R</w:t>
            </w:r>
          </w:p>
        </w:tc>
        <w:tc>
          <w:tcPr>
            <w:tcW w:w="2835" w:type="dxa"/>
            <w:vAlign w:val="center"/>
          </w:tcPr>
          <w:p>
            <w:pPr>
              <w:pStyle w:val="11"/>
            </w:pPr>
            <w:r>
              <w:t>项目名称</w:t>
            </w:r>
          </w:p>
        </w:tc>
        <w:tc>
          <w:tcPr>
            <w:tcW w:w="6095" w:type="dxa"/>
            <w:gridSpan w:val="3"/>
            <w:vAlign w:val="center"/>
          </w:tcPr>
          <w:p>
            <w:pPr>
              <w:pStyle w:val="13"/>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主要用于村级服务站办公经费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1.通过村级综合服务站经费的拨付，达到提升基层服务体系的效果，达到积极开展上级交办的各项为民事项的效果。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村级综合服务站补助村数</w:t>
            </w:r>
          </w:p>
        </w:tc>
        <w:tc>
          <w:tcPr>
            <w:tcW w:w="5386" w:type="dxa"/>
            <w:vAlign w:val="center"/>
          </w:tcPr>
          <w:p>
            <w:pPr>
              <w:pStyle w:val="13"/>
            </w:pPr>
            <w:r>
              <w:t>享受村级综合服务站补助的村数</w:t>
            </w:r>
          </w:p>
        </w:tc>
        <w:tc>
          <w:tcPr>
            <w:tcW w:w="2268" w:type="dxa"/>
            <w:vAlign w:val="center"/>
          </w:tcPr>
          <w:p>
            <w:pPr>
              <w:pStyle w:val="13"/>
            </w:pPr>
            <w:r>
              <w:t>16个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tc>
        <w:tc>
          <w:tcPr>
            <w:tcW w:w="5386" w:type="dxa"/>
            <w:vAlign w:val="center"/>
          </w:tcPr>
          <w:p>
            <w:pPr>
              <w:pStyle w:val="13"/>
            </w:pPr>
            <w:r>
              <w:t>村级综合服务站经费保障标准</w:t>
            </w:r>
          </w:p>
        </w:tc>
        <w:tc>
          <w:tcPr>
            <w:tcW w:w="2268" w:type="dxa"/>
            <w:vAlign w:val="center"/>
          </w:tcPr>
          <w:p>
            <w:pPr>
              <w:pStyle w:val="13"/>
            </w:pPr>
            <w:r>
              <w:t>≤0.5万元/村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村组织正常办公运转时间占全年的比率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tc>
        <w:tc>
          <w:tcPr>
            <w:tcW w:w="5386" w:type="dxa"/>
            <w:vAlign w:val="center"/>
          </w:tcPr>
          <w:p>
            <w:pPr>
              <w:pStyle w:val="13"/>
            </w:pPr>
            <w:r>
              <w:t>村级服务群众专项经费发放，保障村委会正常运转办公的时限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14、关于提前下达2025年革命老区转移支付-两山乡梁各庄、段家店道路硬化项目绩效目标表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13032225P002134100022</w:t>
            </w:r>
          </w:p>
        </w:tc>
        <w:tc>
          <w:tcPr>
            <w:tcW w:w="2835" w:type="dxa"/>
            <w:vAlign w:val="center"/>
          </w:tcPr>
          <w:p>
            <w:pPr>
              <w:pStyle w:val="11"/>
            </w:pPr>
            <w:r>
              <w:t>项目名称</w:t>
            </w:r>
          </w:p>
        </w:tc>
        <w:tc>
          <w:tcPr>
            <w:tcW w:w="6095" w:type="dxa"/>
            <w:gridSpan w:val="3"/>
            <w:vAlign w:val="center"/>
          </w:tcPr>
          <w:p>
            <w:pPr>
              <w:pStyle w:val="13"/>
            </w:pPr>
            <w:r>
              <w:t>关于提前下达2025年革命老区转移支付-两山乡梁各庄、段家店道路硬化项目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100.05</w:t>
            </w:r>
          </w:p>
        </w:tc>
        <w:tc>
          <w:tcPr>
            <w:tcW w:w="2835" w:type="dxa"/>
            <w:vAlign w:val="center"/>
          </w:tcPr>
          <w:p>
            <w:pPr>
              <w:pStyle w:val="11"/>
            </w:pPr>
            <w:r>
              <w:t>其中：财政    资金</w:t>
            </w:r>
          </w:p>
        </w:tc>
        <w:tc>
          <w:tcPr>
            <w:tcW w:w="2551" w:type="dxa"/>
            <w:vAlign w:val="center"/>
          </w:tcPr>
          <w:p>
            <w:pPr>
              <w:pStyle w:val="13"/>
            </w:pPr>
            <w:r>
              <w:t>100.05</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主要用于两山乡梁各庄村、段家店村道路修建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1.工程按期完成，工程质量验收合格。</w:t>
            </w:r>
          </w:p>
          <w:p>
            <w:pPr>
              <w:pStyle w:val="13"/>
            </w:pPr>
            <w:r>
              <w:t>2.方便村民出行，改善农民生存环境，提高农民生活满意度。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项目支出总成本</w:t>
            </w:r>
          </w:p>
        </w:tc>
        <w:tc>
          <w:tcPr>
            <w:tcW w:w="2268" w:type="dxa"/>
            <w:vAlign w:val="center"/>
          </w:tcPr>
          <w:p>
            <w:pPr>
              <w:pStyle w:val="13"/>
            </w:pPr>
            <w:r>
              <w:t>≤288万元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施工任务完成率</w:t>
            </w:r>
          </w:p>
        </w:tc>
        <w:tc>
          <w:tcPr>
            <w:tcW w:w="5386" w:type="dxa"/>
            <w:vAlign w:val="center"/>
          </w:tcPr>
          <w:p>
            <w:pPr>
              <w:pStyle w:val="13"/>
            </w:pPr>
            <w:r>
              <w:t>按年度计划时间完成的工程量占年度计划总量的比例</w:t>
            </w:r>
          </w:p>
        </w:tc>
        <w:tc>
          <w:tcPr>
            <w:tcW w:w="2268" w:type="dxa"/>
            <w:vAlign w:val="center"/>
          </w:tcPr>
          <w:p>
            <w:pPr>
              <w:pStyle w:val="13"/>
            </w:pPr>
            <w:r>
              <w:t>≥95%</w:t>
            </w:r>
          </w:p>
        </w:tc>
        <w:tc>
          <w:tcPr>
            <w:tcW w:w="1276" w:type="dxa"/>
            <w:vAlign w:val="center"/>
          </w:tcPr>
          <w:p>
            <w:pPr>
              <w:pStyle w:val="13"/>
            </w:pPr>
            <w:r>
              <w:t>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完成项目质量合格率</w:t>
            </w:r>
          </w:p>
        </w:tc>
        <w:tc>
          <w:tcPr>
            <w:tcW w:w="5386" w:type="dxa"/>
            <w:vAlign w:val="center"/>
          </w:tcPr>
          <w:p>
            <w:pPr>
              <w:pStyle w:val="13"/>
            </w:pPr>
            <w:r>
              <w:t>完成项目中验收合格项目占完成项目的比例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按年度完成计划率</w:t>
            </w:r>
          </w:p>
        </w:tc>
        <w:tc>
          <w:tcPr>
            <w:tcW w:w="5386" w:type="dxa"/>
            <w:vAlign w:val="center"/>
          </w:tcPr>
          <w:p>
            <w:pPr>
              <w:pStyle w:val="13"/>
            </w:pPr>
            <w:r>
              <w:t>按年度计划时间完成的工程量占年度计划总工程量的比率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减少绕行产生的交通费用</w:t>
            </w:r>
          </w:p>
        </w:tc>
        <w:tc>
          <w:tcPr>
            <w:tcW w:w="5386" w:type="dxa"/>
            <w:vAlign w:val="center"/>
          </w:tcPr>
          <w:p>
            <w:pPr>
              <w:pStyle w:val="13"/>
            </w:pPr>
            <w:r>
              <w:t>项目实施减少道路绕行</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与道路修复前相比，公路通行能力水平（容量）是否提高</w:t>
            </w:r>
          </w:p>
        </w:tc>
        <w:tc>
          <w:tcPr>
            <w:tcW w:w="5386" w:type="dxa"/>
            <w:vAlign w:val="center"/>
          </w:tcPr>
          <w:p>
            <w:pPr>
              <w:pStyle w:val="13"/>
            </w:pPr>
            <w:r>
              <w:t>项目实施提升公路通行能力</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15、环境卫生综合整治绩效目标表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13032226P00225410084W</w:t>
            </w:r>
          </w:p>
        </w:tc>
        <w:tc>
          <w:tcPr>
            <w:tcW w:w="2835" w:type="dxa"/>
            <w:vAlign w:val="center"/>
          </w:tcPr>
          <w:p>
            <w:pPr>
              <w:pStyle w:val="11"/>
            </w:pPr>
            <w:r>
              <w:t>项目名称</w:t>
            </w:r>
          </w:p>
        </w:tc>
        <w:tc>
          <w:tcPr>
            <w:tcW w:w="6095" w:type="dxa"/>
            <w:gridSpan w:val="3"/>
            <w:vAlign w:val="center"/>
          </w:tcPr>
          <w:p>
            <w:pPr>
              <w:pStyle w:val="13"/>
            </w:pPr>
            <w:r>
              <w:t>环境卫生综合整治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主要用于乡村环境整治。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1.提高百姓生活质量，为百姓创造良好生活环境</w:t>
            </w:r>
          </w:p>
          <w:p>
            <w:pPr>
              <w:pStyle w:val="13"/>
            </w:pPr>
            <w:r>
              <w:t>2.保持两山乡环境，展示昌黎县良好形象</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环境整治村庄数量</w:t>
            </w:r>
          </w:p>
        </w:tc>
        <w:tc>
          <w:tcPr>
            <w:tcW w:w="5386" w:type="dxa"/>
            <w:vAlign w:val="center"/>
          </w:tcPr>
          <w:p>
            <w:pPr>
              <w:pStyle w:val="13"/>
            </w:pPr>
            <w:r>
              <w:t>享受整治资金保障的村庄数量</w:t>
            </w:r>
          </w:p>
        </w:tc>
        <w:tc>
          <w:tcPr>
            <w:tcW w:w="2268" w:type="dxa"/>
            <w:vAlign w:val="center"/>
          </w:tcPr>
          <w:p>
            <w:pPr>
              <w:pStyle w:val="13"/>
            </w:pPr>
            <w:r>
              <w:t>16个</w:t>
            </w:r>
          </w:p>
        </w:tc>
        <w:tc>
          <w:tcPr>
            <w:tcW w:w="1276" w:type="dxa"/>
            <w:vAlign w:val="center"/>
          </w:tcPr>
          <w:p>
            <w:pPr>
              <w:pStyle w:val="13"/>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已整治的区域面积占全区应整治区域面积的比例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环境整治标准</w:t>
            </w:r>
          </w:p>
        </w:tc>
        <w:tc>
          <w:tcPr>
            <w:tcW w:w="5386" w:type="dxa"/>
            <w:vAlign w:val="center"/>
          </w:tcPr>
          <w:p>
            <w:pPr>
              <w:pStyle w:val="13"/>
            </w:pPr>
            <w:r>
              <w:t>乡环境整治资金标准</w:t>
            </w:r>
          </w:p>
        </w:tc>
        <w:tc>
          <w:tcPr>
            <w:tcW w:w="2268" w:type="dxa"/>
            <w:vAlign w:val="center"/>
          </w:tcPr>
          <w:p>
            <w:pPr>
              <w:pStyle w:val="13"/>
            </w:pPr>
            <w:r>
              <w:t>≤200万元/乡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对经济发展质量的影响</w:t>
            </w:r>
          </w:p>
        </w:tc>
        <w:tc>
          <w:tcPr>
            <w:tcW w:w="5386" w:type="dxa"/>
            <w:vAlign w:val="center"/>
          </w:tcPr>
          <w:p>
            <w:pPr>
              <w:pStyle w:val="13"/>
            </w:pPr>
            <w:r>
              <w:t>项目实施对经济发展质量的影响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对农村人居环境的影响</w:t>
            </w:r>
          </w:p>
        </w:tc>
        <w:tc>
          <w:tcPr>
            <w:tcW w:w="5386" w:type="dxa"/>
            <w:vAlign w:val="center"/>
          </w:tcPr>
          <w:p>
            <w:pPr>
              <w:pStyle w:val="13"/>
            </w:pPr>
            <w:r>
              <w:t>对农村人居环境的影响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对农村环境的影响</w:t>
            </w:r>
          </w:p>
        </w:tc>
        <w:tc>
          <w:tcPr>
            <w:tcW w:w="5386" w:type="dxa"/>
            <w:vAlign w:val="center"/>
          </w:tcPr>
          <w:p>
            <w:pPr>
              <w:pStyle w:val="13"/>
            </w:pPr>
            <w:r>
              <w:t>环境整治工作对农村环境的影响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整治工作影响的可持续性</w:t>
            </w:r>
          </w:p>
        </w:tc>
        <w:tc>
          <w:tcPr>
            <w:tcW w:w="5386" w:type="dxa"/>
            <w:vAlign w:val="center"/>
          </w:tcPr>
          <w:p>
            <w:pPr>
              <w:pStyle w:val="13"/>
            </w:pPr>
            <w:r>
              <w:t>整治工作影响的可持续性</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16、冀财教【2025】115号-提前下达2026年中央支持地方公共文化服务体系建设补助资金（文化站免费开放资金）绩效目标表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13032226P00217210090M</w:t>
            </w:r>
          </w:p>
        </w:tc>
        <w:tc>
          <w:tcPr>
            <w:tcW w:w="2835" w:type="dxa"/>
            <w:vAlign w:val="center"/>
          </w:tcPr>
          <w:p>
            <w:pPr>
              <w:pStyle w:val="11"/>
            </w:pPr>
            <w:r>
              <w:t>项目名称</w:t>
            </w:r>
          </w:p>
        </w:tc>
        <w:tc>
          <w:tcPr>
            <w:tcW w:w="6095" w:type="dxa"/>
            <w:gridSpan w:val="3"/>
            <w:vAlign w:val="center"/>
          </w:tcPr>
          <w:p>
            <w:pPr>
              <w:pStyle w:val="13"/>
            </w:pPr>
            <w:r>
              <w:t>冀财教【2025】115号-提前下达2026年中央支持地方公共文化服务体系建设补助资金（文化站免费开放资金）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用于两山乡文化站免费开放项目的支出。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1.及时拨付资金，提升文化站全部免费向社会公众开展基本文化服务水平。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文化站开放文化活动数量</w:t>
            </w:r>
          </w:p>
        </w:tc>
        <w:tc>
          <w:tcPr>
            <w:tcW w:w="5386" w:type="dxa"/>
            <w:vAlign w:val="center"/>
          </w:tcPr>
          <w:p>
            <w:pPr>
              <w:pStyle w:val="13"/>
            </w:pPr>
            <w:r>
              <w:t>本年度文化站免费开放文化活动数量</w:t>
            </w:r>
          </w:p>
        </w:tc>
        <w:tc>
          <w:tcPr>
            <w:tcW w:w="2268" w:type="dxa"/>
            <w:vAlign w:val="center"/>
          </w:tcPr>
          <w:p>
            <w:pPr>
              <w:pStyle w:val="13"/>
            </w:pPr>
            <w:r>
              <w:t>≥3次</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免费开放文化站群众参与增长率</w:t>
            </w:r>
          </w:p>
        </w:tc>
        <w:tc>
          <w:tcPr>
            <w:tcW w:w="5386" w:type="dxa"/>
            <w:vAlign w:val="center"/>
          </w:tcPr>
          <w:p>
            <w:pPr>
              <w:pStyle w:val="13"/>
            </w:pPr>
            <w:r>
              <w:t>群众参与文化站活动人次较上年增长率</w:t>
            </w:r>
          </w:p>
        </w:tc>
        <w:tc>
          <w:tcPr>
            <w:tcW w:w="2268" w:type="dxa"/>
            <w:vAlign w:val="center"/>
          </w:tcPr>
          <w:p>
            <w:pPr>
              <w:pStyle w:val="13"/>
            </w:pPr>
            <w:r>
              <w:t>≥5%</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已支付资金占应支付资金的比率</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≤3万元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带动其他相关消费项目增长</w:t>
            </w:r>
          </w:p>
        </w:tc>
        <w:tc>
          <w:tcPr>
            <w:tcW w:w="5386" w:type="dxa"/>
            <w:vAlign w:val="center"/>
          </w:tcPr>
          <w:p>
            <w:pPr>
              <w:pStyle w:val="13"/>
            </w:pPr>
            <w:r>
              <w:t>带动其他相关消费项目增长</w:t>
            </w:r>
          </w:p>
        </w:tc>
        <w:tc>
          <w:tcPr>
            <w:tcW w:w="2268" w:type="dxa"/>
            <w:vAlign w:val="center"/>
          </w:tcPr>
          <w:p>
            <w:pPr>
              <w:pStyle w:val="13"/>
            </w:pPr>
            <w:r>
              <w:t>较上年增长</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免费开放水平稳步提升</w:t>
            </w:r>
          </w:p>
        </w:tc>
        <w:tc>
          <w:tcPr>
            <w:tcW w:w="5386" w:type="dxa"/>
            <w:vAlign w:val="center"/>
          </w:tcPr>
          <w:p>
            <w:pPr>
              <w:pStyle w:val="13"/>
            </w:pPr>
            <w:r>
              <w:t>免费开放水平稳步提升</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免费开放文化站正常运转时间</w:t>
            </w:r>
          </w:p>
        </w:tc>
        <w:tc>
          <w:tcPr>
            <w:tcW w:w="5386" w:type="dxa"/>
            <w:vAlign w:val="center"/>
          </w:tcPr>
          <w:p>
            <w:pPr>
              <w:pStyle w:val="13"/>
            </w:pPr>
            <w:r>
              <w:t>免费开放文化站正常运转时间</w:t>
            </w:r>
          </w:p>
        </w:tc>
        <w:tc>
          <w:tcPr>
            <w:tcW w:w="2268" w:type="dxa"/>
            <w:vAlign w:val="center"/>
          </w:tcPr>
          <w:p>
            <w:pPr>
              <w:pStyle w:val="13"/>
            </w:pPr>
            <w:r>
              <w:t>1年</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受益群众对免费开放文化站的满意度</w:t>
            </w:r>
          </w:p>
        </w:tc>
        <w:tc>
          <w:tcPr>
            <w:tcW w:w="5386" w:type="dxa"/>
            <w:vAlign w:val="center"/>
          </w:tcPr>
          <w:p>
            <w:pPr>
              <w:pStyle w:val="13"/>
            </w:pPr>
            <w:r>
              <w:t>调查中受益群众对免费开放文化站的满意人数占全部调查人数的比例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17、冀财教【2025】131号-提前下达2026年基层三馆一站免费开放运行保障经费（文化站免费开放）绩效目标表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13032226P00217210116M</w:t>
            </w:r>
          </w:p>
        </w:tc>
        <w:tc>
          <w:tcPr>
            <w:tcW w:w="2835" w:type="dxa"/>
            <w:vAlign w:val="center"/>
          </w:tcPr>
          <w:p>
            <w:pPr>
              <w:pStyle w:val="11"/>
            </w:pPr>
            <w:r>
              <w:t>项目名称</w:t>
            </w:r>
          </w:p>
        </w:tc>
        <w:tc>
          <w:tcPr>
            <w:tcW w:w="6095" w:type="dxa"/>
            <w:gridSpan w:val="3"/>
            <w:vAlign w:val="center"/>
          </w:tcPr>
          <w:p>
            <w:pPr>
              <w:pStyle w:val="13"/>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主要用于文化站免费开放项目支出。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1.及时拨付资金，提升文化站全部免费向社会公众开展基本文化服务水平。</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文化站开放文化活动数量</w:t>
            </w:r>
          </w:p>
        </w:tc>
        <w:tc>
          <w:tcPr>
            <w:tcW w:w="5386" w:type="dxa"/>
            <w:vAlign w:val="center"/>
          </w:tcPr>
          <w:p>
            <w:pPr>
              <w:pStyle w:val="13"/>
            </w:pPr>
            <w:r>
              <w:t>本年度文化站免费开放文化活动数量</w:t>
            </w:r>
          </w:p>
        </w:tc>
        <w:tc>
          <w:tcPr>
            <w:tcW w:w="2268" w:type="dxa"/>
            <w:vAlign w:val="center"/>
          </w:tcPr>
          <w:p>
            <w:pPr>
              <w:pStyle w:val="13"/>
            </w:pPr>
            <w:r>
              <w:t>≥3次</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群众参与人次较上年增长率</w:t>
            </w:r>
          </w:p>
        </w:tc>
        <w:tc>
          <w:tcPr>
            <w:tcW w:w="5386" w:type="dxa"/>
            <w:vAlign w:val="center"/>
          </w:tcPr>
          <w:p>
            <w:pPr>
              <w:pStyle w:val="13"/>
            </w:pPr>
            <w:r>
              <w:t>群众参与文化站活动人次较上年增长率</w:t>
            </w:r>
          </w:p>
        </w:tc>
        <w:tc>
          <w:tcPr>
            <w:tcW w:w="2268" w:type="dxa"/>
            <w:vAlign w:val="center"/>
          </w:tcPr>
          <w:p>
            <w:pPr>
              <w:pStyle w:val="13"/>
            </w:pPr>
            <w:r>
              <w:t>≥5%</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已支付资金占应支付资金的比率</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≤0.5万元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带动其他相关消费项目增长</w:t>
            </w:r>
          </w:p>
        </w:tc>
        <w:tc>
          <w:tcPr>
            <w:tcW w:w="5386" w:type="dxa"/>
            <w:vAlign w:val="center"/>
          </w:tcPr>
          <w:p>
            <w:pPr>
              <w:pStyle w:val="13"/>
            </w:pPr>
            <w:r>
              <w:t>带动其他相关消费项目增长</w:t>
            </w:r>
          </w:p>
        </w:tc>
        <w:tc>
          <w:tcPr>
            <w:tcW w:w="2268" w:type="dxa"/>
            <w:vAlign w:val="center"/>
          </w:tcPr>
          <w:p>
            <w:pPr>
              <w:pStyle w:val="13"/>
            </w:pPr>
            <w:r>
              <w:t>较上年增长</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免费开放水平稳步提升</w:t>
            </w:r>
          </w:p>
        </w:tc>
        <w:tc>
          <w:tcPr>
            <w:tcW w:w="5386" w:type="dxa"/>
            <w:vAlign w:val="center"/>
          </w:tcPr>
          <w:p>
            <w:pPr>
              <w:pStyle w:val="13"/>
            </w:pPr>
            <w:r>
              <w:t>免费开放水平稳步提升</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免费开放文化站正常运转时间</w:t>
            </w:r>
          </w:p>
        </w:tc>
        <w:tc>
          <w:tcPr>
            <w:tcW w:w="5386" w:type="dxa"/>
            <w:vAlign w:val="center"/>
          </w:tcPr>
          <w:p>
            <w:pPr>
              <w:pStyle w:val="13"/>
            </w:pPr>
            <w:r>
              <w:t>免费开放文化站正常运转时间</w:t>
            </w:r>
          </w:p>
        </w:tc>
        <w:tc>
          <w:tcPr>
            <w:tcW w:w="2268" w:type="dxa"/>
            <w:vAlign w:val="center"/>
          </w:tcPr>
          <w:p>
            <w:pPr>
              <w:pStyle w:val="13"/>
            </w:pPr>
            <w:r>
              <w:t>1年</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受益群众对免费开放文化站的满意度</w:t>
            </w:r>
          </w:p>
        </w:tc>
        <w:tc>
          <w:tcPr>
            <w:tcW w:w="5386" w:type="dxa"/>
            <w:vAlign w:val="center"/>
          </w:tcPr>
          <w:p>
            <w:pPr>
              <w:pStyle w:val="13"/>
            </w:pPr>
            <w:r>
              <w:t>调查中受益群众对免费开放文化站的满意人数占全部调查人数的比例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18、其他村两委干部基础补贴绩效目标表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13032226P00225210352J</w:t>
            </w:r>
          </w:p>
        </w:tc>
        <w:tc>
          <w:tcPr>
            <w:tcW w:w="2835" w:type="dxa"/>
            <w:vAlign w:val="center"/>
          </w:tcPr>
          <w:p>
            <w:pPr>
              <w:pStyle w:val="11"/>
            </w:pPr>
            <w:r>
              <w:t>项目名称</w:t>
            </w:r>
          </w:p>
        </w:tc>
        <w:tc>
          <w:tcPr>
            <w:tcW w:w="6095" w:type="dxa"/>
            <w:gridSpan w:val="3"/>
            <w:vAlign w:val="center"/>
          </w:tcPr>
          <w:p>
            <w:pPr>
              <w:pStyle w:val="13"/>
            </w:pPr>
            <w:r>
              <w:t>其他村两委干部基础补贴</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115.34</w:t>
            </w:r>
          </w:p>
        </w:tc>
        <w:tc>
          <w:tcPr>
            <w:tcW w:w="2835" w:type="dxa"/>
            <w:vAlign w:val="center"/>
          </w:tcPr>
          <w:p>
            <w:pPr>
              <w:pStyle w:val="11"/>
            </w:pPr>
            <w:r>
              <w:t>其中：财政    资金</w:t>
            </w:r>
          </w:p>
        </w:tc>
        <w:tc>
          <w:tcPr>
            <w:tcW w:w="2551" w:type="dxa"/>
            <w:vAlign w:val="center"/>
          </w:tcPr>
          <w:p>
            <w:pPr>
              <w:pStyle w:val="13"/>
            </w:pPr>
            <w:r>
              <w:t>115.34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主要用于发放村其他两委干部补贴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通过发放为乡16个行政村配齐1名一人兼正职村干部和4-5名副职村干部基础职务补贴，达到保障村干部基础职务补贴发放的效果；通过落实全乡16个行政村村干部的基础职务补贴，达到保障副职补贴不低于每人每年17744元，保障村级行政能力的效果。    </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享受补贴的人数</w:t>
            </w:r>
          </w:p>
        </w:tc>
        <w:tc>
          <w:tcPr>
            <w:tcW w:w="2268" w:type="dxa"/>
            <w:vAlign w:val="center"/>
          </w:tcPr>
          <w:p>
            <w:pPr>
              <w:pStyle w:val="13"/>
            </w:pPr>
            <w:r>
              <w:t>≤65人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tc>
        <w:tc>
          <w:tcPr>
            <w:tcW w:w="5386" w:type="dxa"/>
            <w:vAlign w:val="center"/>
          </w:tcPr>
          <w:p>
            <w:pPr>
              <w:pStyle w:val="13"/>
            </w:pPr>
            <w:r>
              <w:t>按时发放补贴资金占实际到位资金的比例</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村干部副职年补贴标准</w:t>
            </w:r>
          </w:p>
        </w:tc>
        <w:tc>
          <w:tcPr>
            <w:tcW w:w="2268" w:type="dxa"/>
            <w:vAlign w:val="center"/>
          </w:tcPr>
          <w:p>
            <w:pPr>
              <w:pStyle w:val="13"/>
            </w:pPr>
            <w:r>
              <w:t>≤1.77万元/人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提高村级行政单位办公能力</w:t>
            </w:r>
          </w:p>
        </w:tc>
        <w:tc>
          <w:tcPr>
            <w:tcW w:w="5386" w:type="dxa"/>
            <w:vAlign w:val="center"/>
          </w:tcPr>
          <w:p>
            <w:pPr>
              <w:pStyle w:val="13"/>
            </w:pPr>
            <w:r>
              <w:t>发放村干部工资补贴，提高村级行政单位办公能力</w:t>
            </w:r>
          </w:p>
        </w:tc>
        <w:tc>
          <w:tcPr>
            <w:tcW w:w="2268" w:type="dxa"/>
            <w:vAlign w:val="center"/>
          </w:tcPr>
          <w:p>
            <w:pPr>
              <w:pStyle w:val="13"/>
            </w:pPr>
            <w:r>
              <w:t>不低于上年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不低于上年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tc>
        <w:tc>
          <w:tcPr>
            <w:tcW w:w="5386" w:type="dxa"/>
            <w:vAlign w:val="center"/>
          </w:tcPr>
          <w:p>
            <w:pPr>
              <w:pStyle w:val="13"/>
            </w:pPr>
            <w:r>
              <w:t>村干部补贴发放，保障村委会稳定发展的时限</w:t>
            </w:r>
          </w:p>
        </w:tc>
        <w:tc>
          <w:tcPr>
            <w:tcW w:w="2268" w:type="dxa"/>
            <w:vAlign w:val="center"/>
          </w:tcPr>
          <w:p>
            <w:pPr>
              <w:pStyle w:val="13"/>
            </w:pPr>
            <w:r>
              <w:t>≥1年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调查中满意或较满意的村干部占被调查村干部的比率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19、人大代表之家经费绩效目标表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13032226P00230310038X</w:t>
            </w:r>
          </w:p>
        </w:tc>
        <w:tc>
          <w:tcPr>
            <w:tcW w:w="2835" w:type="dxa"/>
            <w:vAlign w:val="center"/>
          </w:tcPr>
          <w:p>
            <w:pPr>
              <w:pStyle w:val="11"/>
            </w:pPr>
            <w:r>
              <w:t>项目名称</w:t>
            </w:r>
          </w:p>
        </w:tc>
        <w:tc>
          <w:tcPr>
            <w:tcW w:w="6095" w:type="dxa"/>
            <w:gridSpan w:val="3"/>
            <w:vAlign w:val="center"/>
          </w:tcPr>
          <w:p>
            <w:pPr>
              <w:pStyle w:val="13"/>
            </w:pPr>
            <w:r>
              <w:t>人大代表之家经费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主要用于购买人大办公物资及修缮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1.通过项目资金及时支付，达到保证乡、村人大代表工作正常开展的效果；通过加强人大代表之家建设，达到不断提高人大代表履职能力的效果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补助人大代表之家数量</w:t>
            </w:r>
          </w:p>
        </w:tc>
        <w:tc>
          <w:tcPr>
            <w:tcW w:w="5386" w:type="dxa"/>
            <w:vAlign w:val="center"/>
          </w:tcPr>
          <w:p>
            <w:pPr>
              <w:pStyle w:val="13"/>
            </w:pPr>
            <w:r>
              <w:t>享受补助的人大代表之家个数</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人大代表履职率</w:t>
            </w:r>
          </w:p>
        </w:tc>
        <w:tc>
          <w:tcPr>
            <w:tcW w:w="5386" w:type="dxa"/>
            <w:vAlign w:val="center"/>
          </w:tcPr>
          <w:p>
            <w:pPr>
              <w:pStyle w:val="13"/>
            </w:pPr>
            <w:r>
              <w:t>正常履职人大代表职能人数占区域内人大代表总数的比率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人大经费支付及时率</w:t>
            </w:r>
          </w:p>
        </w:tc>
        <w:tc>
          <w:tcPr>
            <w:tcW w:w="5386" w:type="dxa"/>
            <w:vAlign w:val="center"/>
          </w:tcPr>
          <w:p>
            <w:pPr>
              <w:pStyle w:val="13"/>
            </w:pPr>
            <w:r>
              <w:t>及时支付人大经费金额占实际到位金额的比率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项目资金成本</w:t>
            </w:r>
          </w:p>
        </w:tc>
        <w:tc>
          <w:tcPr>
            <w:tcW w:w="5386" w:type="dxa"/>
            <w:vAlign w:val="center"/>
          </w:tcPr>
          <w:p>
            <w:pPr>
              <w:pStyle w:val="13"/>
            </w:pPr>
            <w:r>
              <w:t>项目资金全年补助标准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通过人大经费的支出提高区域内财政资金使用效力</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保障人大代表履职能力</w:t>
            </w:r>
          </w:p>
        </w:tc>
        <w:tc>
          <w:tcPr>
            <w:tcW w:w="5386" w:type="dxa"/>
            <w:vAlign w:val="center"/>
          </w:tcPr>
          <w:p>
            <w:pPr>
              <w:pStyle w:val="13"/>
            </w:pPr>
            <w:r>
              <w:t>保障区域内人大代表履职能力人数</w:t>
            </w:r>
          </w:p>
        </w:tc>
        <w:tc>
          <w:tcPr>
            <w:tcW w:w="2268" w:type="dxa"/>
            <w:vAlign w:val="center"/>
          </w:tcPr>
          <w:p>
            <w:pPr>
              <w:pStyle w:val="13"/>
            </w:pPr>
            <w:r>
              <w:t>≥50人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办公期间水电等能源节约情况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人大工作的可持续影响</w:t>
            </w:r>
          </w:p>
        </w:tc>
        <w:tc>
          <w:tcPr>
            <w:tcW w:w="5386" w:type="dxa"/>
            <w:vAlign w:val="center"/>
          </w:tcPr>
          <w:p>
            <w:pPr>
              <w:pStyle w:val="13"/>
            </w:pPr>
            <w:r>
              <w:t>人大工作经费的支出，保障区域内人大工作正常运转的时限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调查中满意或较满意的人大代表占被调查人大代表的比率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13032226P002123100423</w:t>
            </w:r>
          </w:p>
        </w:tc>
        <w:tc>
          <w:tcPr>
            <w:tcW w:w="2835" w:type="dxa"/>
            <w:vAlign w:val="center"/>
          </w:tcPr>
          <w:p>
            <w:pPr>
              <w:pStyle w:val="11"/>
            </w:pPr>
            <w:r>
              <w:t>项目名称</w:t>
            </w:r>
          </w:p>
        </w:tc>
        <w:tc>
          <w:tcPr>
            <w:tcW w:w="6095" w:type="dxa"/>
            <w:gridSpan w:val="3"/>
            <w:vAlign w:val="center"/>
          </w:tcPr>
          <w:p>
            <w:pPr>
              <w:pStyle w:val="13"/>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主要用于武装部购买办公物资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1.通过项目资金及时支付，达到保证乡武装工作、民兵训练工作顺利进行的效果；通过保障武装工作经费，达到提高社会稳定能力的效果。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组织开展武装宣传次数</w:t>
            </w:r>
          </w:p>
        </w:tc>
        <w:tc>
          <w:tcPr>
            <w:tcW w:w="5386" w:type="dxa"/>
            <w:vAlign w:val="center"/>
          </w:tcPr>
          <w:p>
            <w:pPr>
              <w:pStyle w:val="13"/>
            </w:pPr>
            <w:r>
              <w:t>组织开展辖区内武装宣传工作的次数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已开展武装宣传工作村数占应开展武装宣传工作村数的比率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武装工作经费支付及时率</w:t>
            </w:r>
          </w:p>
        </w:tc>
        <w:tc>
          <w:tcPr>
            <w:tcW w:w="5386" w:type="dxa"/>
            <w:vAlign w:val="center"/>
          </w:tcPr>
          <w:p>
            <w:pPr>
              <w:pStyle w:val="13"/>
            </w:pPr>
            <w:r>
              <w:t>按时支付武装经费的金额占实际到位武装经费的比例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开展武装宣传费用成本</w:t>
            </w:r>
          </w:p>
        </w:tc>
        <w:tc>
          <w:tcPr>
            <w:tcW w:w="5386" w:type="dxa"/>
            <w:vAlign w:val="center"/>
          </w:tcPr>
          <w:p>
            <w:pPr>
              <w:pStyle w:val="13"/>
            </w:pPr>
            <w:r>
              <w:t>武装宣传的费用标准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提高区域内武装工作收入</w:t>
            </w:r>
          </w:p>
        </w:tc>
        <w:tc>
          <w:tcPr>
            <w:tcW w:w="5386" w:type="dxa"/>
            <w:vAlign w:val="center"/>
          </w:tcPr>
          <w:p>
            <w:pPr>
              <w:pStyle w:val="13"/>
            </w:pPr>
            <w:r>
              <w:t>提高两山乡武装工作收入</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提升民兵人员提升社会责任感</w:t>
            </w:r>
          </w:p>
        </w:tc>
        <w:tc>
          <w:tcPr>
            <w:tcW w:w="5386" w:type="dxa"/>
            <w:vAlign w:val="center"/>
          </w:tcPr>
          <w:p>
            <w:pPr>
              <w:pStyle w:val="13"/>
            </w:pPr>
            <w:r>
              <w:t>提升民兵人员提升社会责任感人数</w:t>
            </w:r>
          </w:p>
        </w:tc>
        <w:tc>
          <w:tcPr>
            <w:tcW w:w="2268" w:type="dxa"/>
            <w:vAlign w:val="center"/>
          </w:tcPr>
          <w:p>
            <w:pPr>
              <w:pStyle w:val="13"/>
            </w:pPr>
            <w:r>
              <w:t>≥40人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办公期间水电等能源节约情况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武装工作经费的可持续影响</w:t>
            </w:r>
          </w:p>
        </w:tc>
        <w:tc>
          <w:tcPr>
            <w:tcW w:w="5386" w:type="dxa"/>
            <w:vAlign w:val="center"/>
          </w:tcPr>
          <w:p>
            <w:pPr>
              <w:pStyle w:val="13"/>
            </w:pPr>
            <w:r>
              <w:t>武装工作经费的支出，保障区域内武装工作正常运转的时限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调查中满意或较满意的民兵占被调查总人数的比率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13032226P002126100791</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16.76</w:t>
            </w:r>
          </w:p>
        </w:tc>
        <w:tc>
          <w:tcPr>
            <w:tcW w:w="2835" w:type="dxa"/>
            <w:vAlign w:val="center"/>
          </w:tcPr>
          <w:p>
            <w:pPr>
              <w:pStyle w:val="11"/>
            </w:pPr>
            <w:r>
              <w:t>其中：财政    资金</w:t>
            </w:r>
          </w:p>
        </w:tc>
        <w:tc>
          <w:tcPr>
            <w:tcW w:w="2551" w:type="dxa"/>
            <w:vAlign w:val="center"/>
          </w:tcPr>
          <w:p>
            <w:pPr>
              <w:pStyle w:val="13"/>
            </w:pPr>
            <w:r>
              <w:t>16.76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主要用于信访维稳人员差旅支出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1.通过加强信访类案件的调解、处置工作，达到有效化解信访矛盾，维护社会稳定的效果；确保项目资金及时支付，达到保证我乡信访工作正常开展的效果。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完成信访维稳人次数</w:t>
            </w:r>
          </w:p>
        </w:tc>
        <w:tc>
          <w:tcPr>
            <w:tcW w:w="5386" w:type="dxa"/>
            <w:vAlign w:val="center"/>
          </w:tcPr>
          <w:p>
            <w:pPr>
              <w:pStyle w:val="13"/>
            </w:pPr>
            <w:r>
              <w:t>完成信访维稳的人次数</w:t>
            </w:r>
          </w:p>
        </w:tc>
        <w:tc>
          <w:tcPr>
            <w:tcW w:w="2268" w:type="dxa"/>
            <w:vAlign w:val="center"/>
          </w:tcPr>
          <w:p>
            <w:pPr>
              <w:pStyle w:val="13"/>
            </w:pPr>
            <w:r>
              <w:t>≥2人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化解信访矛盾率</w:t>
            </w:r>
          </w:p>
        </w:tc>
        <w:tc>
          <w:tcPr>
            <w:tcW w:w="5386" w:type="dxa"/>
            <w:vAlign w:val="center"/>
          </w:tcPr>
          <w:p>
            <w:pPr>
              <w:pStyle w:val="13"/>
            </w:pPr>
            <w:r>
              <w:t>解决信访矛盾次数占全部实际发生信访次数的比率</w:t>
            </w:r>
          </w:p>
        </w:tc>
        <w:tc>
          <w:tcPr>
            <w:tcW w:w="2268" w:type="dxa"/>
            <w:vAlign w:val="center"/>
          </w:tcPr>
          <w:p>
            <w:pPr>
              <w:pStyle w:val="13"/>
            </w:pPr>
            <w:r>
              <w:t>≥70%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信访案件接手处理时限</w:t>
            </w:r>
          </w:p>
        </w:tc>
        <w:tc>
          <w:tcPr>
            <w:tcW w:w="5386" w:type="dxa"/>
            <w:vAlign w:val="center"/>
          </w:tcPr>
          <w:p>
            <w:pPr>
              <w:pStyle w:val="13"/>
            </w:pPr>
            <w:r>
              <w:t>信访案件发生后信访工作人员接手处理的时间</w:t>
            </w:r>
          </w:p>
        </w:tc>
        <w:tc>
          <w:tcPr>
            <w:tcW w:w="2268" w:type="dxa"/>
            <w:vAlign w:val="center"/>
          </w:tcPr>
          <w:p>
            <w:pPr>
              <w:pStyle w:val="13"/>
            </w:pPr>
            <w:r>
              <w:t>≤2天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化解信访案件等经费成本</w:t>
            </w:r>
          </w:p>
        </w:tc>
        <w:tc>
          <w:tcPr>
            <w:tcW w:w="5386" w:type="dxa"/>
            <w:vAlign w:val="center"/>
          </w:tcPr>
          <w:p>
            <w:pPr>
              <w:pStyle w:val="13"/>
            </w:pPr>
            <w:r>
              <w:t>化解信访案件及维稳人员差旅费等经费成本</w:t>
            </w:r>
          </w:p>
        </w:tc>
        <w:tc>
          <w:tcPr>
            <w:tcW w:w="2268" w:type="dxa"/>
            <w:vAlign w:val="center"/>
          </w:tcPr>
          <w:p>
            <w:pPr>
              <w:pStyle w:val="13"/>
            </w:pPr>
            <w:r>
              <w:t>≤16.75万元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促进经济形势稳定发展</w:t>
            </w:r>
          </w:p>
        </w:tc>
        <w:tc>
          <w:tcPr>
            <w:tcW w:w="5386" w:type="dxa"/>
            <w:vAlign w:val="center"/>
          </w:tcPr>
          <w:p>
            <w:pPr>
              <w:pStyle w:val="13"/>
            </w:pPr>
            <w:r>
              <w:t>维护社会稳定，促进经济形势稳定</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及时处理矛盾纠纷，维护社会稳定</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对信访维稳工作产生影响的持续性</w:t>
            </w:r>
          </w:p>
        </w:tc>
        <w:tc>
          <w:tcPr>
            <w:tcW w:w="5386" w:type="dxa"/>
            <w:vAlign w:val="center"/>
          </w:tcPr>
          <w:p>
            <w:pPr>
              <w:pStyle w:val="13"/>
            </w:pPr>
            <w:r>
              <w:t>对区域内信访维稳工作产生影响的时限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tc>
        <w:tc>
          <w:tcPr>
            <w:tcW w:w="5386" w:type="dxa"/>
            <w:vAlign w:val="center"/>
          </w:tcPr>
          <w:p>
            <w:pPr>
              <w:pStyle w:val="13"/>
            </w:pPr>
            <w:r>
              <w:t>调查中满意或较满意的信访群众占被调查群众的比率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13032226P00225210215L</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15.50</w:t>
            </w:r>
          </w:p>
        </w:tc>
        <w:tc>
          <w:tcPr>
            <w:tcW w:w="2835" w:type="dxa"/>
            <w:vAlign w:val="center"/>
          </w:tcPr>
          <w:p>
            <w:pPr>
              <w:pStyle w:val="11"/>
            </w:pPr>
            <w:r>
              <w:t>其中：财政    资金</w:t>
            </w:r>
          </w:p>
        </w:tc>
        <w:tc>
          <w:tcPr>
            <w:tcW w:w="2551" w:type="dxa"/>
            <w:vAlign w:val="center"/>
          </w:tcPr>
          <w:p>
            <w:pPr>
              <w:pStyle w:val="13"/>
            </w:pPr>
            <w:r>
              <w:t>15.50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1.通过离任村干部生活补助及时支付，达到保障离任村干部的合法权益的效果；通过发放离任村干部生活补助，达到提高在任村干部干事创业的积极性的效果。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正常离任村干部人数</w:t>
            </w:r>
          </w:p>
        </w:tc>
        <w:tc>
          <w:tcPr>
            <w:tcW w:w="5386" w:type="dxa"/>
            <w:vAlign w:val="center"/>
          </w:tcPr>
          <w:p>
            <w:pPr>
              <w:pStyle w:val="13"/>
            </w:pPr>
            <w:r>
              <w:t>享受补助的正常离任村干部的人数</w:t>
            </w:r>
          </w:p>
        </w:tc>
        <w:tc>
          <w:tcPr>
            <w:tcW w:w="2268" w:type="dxa"/>
            <w:vAlign w:val="center"/>
          </w:tcPr>
          <w:p>
            <w:pPr>
              <w:pStyle w:val="13"/>
            </w:pPr>
            <w:r>
              <w:t>≤47人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经费补助发放率</w:t>
            </w:r>
          </w:p>
        </w:tc>
        <w:tc>
          <w:tcPr>
            <w:tcW w:w="5386" w:type="dxa"/>
            <w:vAlign w:val="center"/>
          </w:tcPr>
          <w:p>
            <w:pPr>
              <w:pStyle w:val="13"/>
            </w:pPr>
            <w:r>
              <w:t>发放离任村干部补助数占离任村干部生活补助总数的比率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正常离任村干部补贴发放金额占实际到位资金的比例的比例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正常离任村干部生活补助成本</w:t>
            </w:r>
          </w:p>
        </w:tc>
        <w:tc>
          <w:tcPr>
            <w:tcW w:w="5386" w:type="dxa"/>
            <w:vAlign w:val="center"/>
          </w:tcPr>
          <w:p>
            <w:pPr>
              <w:pStyle w:val="13"/>
            </w:pPr>
            <w:r>
              <w:t>离任村干部任正职满1年每月补助标准</w:t>
            </w:r>
          </w:p>
        </w:tc>
        <w:tc>
          <w:tcPr>
            <w:tcW w:w="2268" w:type="dxa"/>
            <w:vAlign w:val="center"/>
          </w:tcPr>
          <w:p>
            <w:pPr>
              <w:pStyle w:val="13"/>
            </w:pPr>
            <w:r>
              <w:t>20元/人/月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提高行政村内正常离任村干部收入</w:t>
            </w:r>
          </w:p>
        </w:tc>
        <w:tc>
          <w:tcPr>
            <w:tcW w:w="5386" w:type="dxa"/>
            <w:vAlign w:val="center"/>
          </w:tcPr>
          <w:p>
            <w:pPr>
              <w:pStyle w:val="13"/>
            </w:pPr>
            <w:r>
              <w:t>每年离任村干部收入增加额</w:t>
            </w:r>
          </w:p>
        </w:tc>
        <w:tc>
          <w:tcPr>
            <w:tcW w:w="2268" w:type="dxa"/>
            <w:vAlign w:val="center"/>
          </w:tcPr>
          <w:p>
            <w:pPr>
              <w:pStyle w:val="13"/>
            </w:pPr>
            <w:r>
              <w:t>≥1440元/月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tc>
        <w:tc>
          <w:tcPr>
            <w:tcW w:w="5386" w:type="dxa"/>
            <w:vAlign w:val="center"/>
          </w:tcPr>
          <w:p>
            <w:pPr>
              <w:pStyle w:val="13"/>
            </w:pPr>
            <w:r>
              <w:t>提高在任村干部干事创业的积极性，促进行政村稳定</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办公期间水电等能源节约情况</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离任村干部补助的可持续影响</w:t>
            </w:r>
          </w:p>
        </w:tc>
        <w:tc>
          <w:tcPr>
            <w:tcW w:w="5386" w:type="dxa"/>
            <w:vAlign w:val="center"/>
          </w:tcPr>
          <w:p>
            <w:pPr>
              <w:pStyle w:val="13"/>
            </w:pPr>
            <w:r>
              <w:t>离任村干部补助发放，保障村委会稳定发展时限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正常离任村干部满意度</w:t>
            </w:r>
          </w:p>
        </w:tc>
        <w:tc>
          <w:tcPr>
            <w:tcW w:w="5386" w:type="dxa"/>
            <w:vAlign w:val="center"/>
          </w:tcPr>
          <w:p>
            <w:pPr>
              <w:pStyle w:val="13"/>
            </w:pPr>
            <w:r>
              <w:t>调查中满意或较满意的正常离任村干部占被调查正常离任村干部的比率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824昌黎县两山乡人民政府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100.05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100.05</w:t>
            </w:r>
          </w:p>
        </w:tc>
        <w:tc>
          <w:tcPr>
            <w:tcW w:w="964" w:type="dxa"/>
            <w:vAlign w:val="center"/>
          </w:tcPr>
          <w:p>
            <w:pPr>
              <w:pStyle w:val="16"/>
            </w:pPr>
          </w:p>
        </w:tc>
        <w:tc>
          <w:tcPr>
            <w:tcW w:w="964" w:type="dxa"/>
            <w:vAlign w:val="center"/>
          </w:tcPr>
          <w:p>
            <w:pPr>
              <w:pStyle w:val="16"/>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昌黎县两山乡人民政府本级小计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100.05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100.05</w:t>
            </w:r>
          </w:p>
        </w:tc>
        <w:tc>
          <w:tcPr>
            <w:tcW w:w="964" w:type="dxa"/>
            <w:vAlign w:val="center"/>
          </w:tcPr>
          <w:p>
            <w:pPr>
              <w:pStyle w:val="16"/>
            </w:pPr>
          </w:p>
        </w:tc>
        <w:tc>
          <w:tcPr>
            <w:tcW w:w="964" w:type="dxa"/>
            <w:vAlign w:val="center"/>
          </w:tcPr>
          <w:p>
            <w:pPr>
              <w:pStyle w:val="16"/>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关于提前下达2025年革命老区转移支付-两山乡梁各庄、段家店道路硬化项目</w:t>
            </w:r>
          </w:p>
        </w:tc>
        <w:tc>
          <w:tcPr>
            <w:tcW w:w="964" w:type="dxa"/>
            <w:vAlign w:val="center"/>
          </w:tcPr>
          <w:p>
            <w:pPr>
              <w:pStyle w:val="12"/>
            </w:pPr>
            <w:r>
              <w:t>100.05</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平方米</w:t>
            </w:r>
          </w:p>
        </w:tc>
        <w:tc>
          <w:tcPr>
            <w:tcW w:w="850" w:type="dxa"/>
            <w:vAlign w:val="center"/>
          </w:tcPr>
          <w:p>
            <w:pPr>
              <w:pStyle w:val="12"/>
            </w:pPr>
            <w:r>
              <w:t>1</w:t>
            </w:r>
          </w:p>
        </w:tc>
        <w:tc>
          <w:tcPr>
            <w:tcW w:w="850" w:type="dxa"/>
            <w:vAlign w:val="center"/>
          </w:tcPr>
          <w:p>
            <w:pPr>
              <w:pStyle w:val="12"/>
            </w:pPr>
            <w:r>
              <w:t>100.05</w:t>
            </w:r>
          </w:p>
        </w:tc>
        <w:tc>
          <w:tcPr>
            <w:tcW w:w="964" w:type="dxa"/>
            <w:vAlign w:val="center"/>
          </w:tcPr>
          <w:p>
            <w:pPr>
              <w:pStyle w:val="12"/>
            </w:pPr>
            <w:r>
              <w:t>100.05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100.05</w:t>
            </w:r>
          </w:p>
        </w:tc>
        <w:tc>
          <w:tcPr>
            <w:tcW w:w="964" w:type="dxa"/>
            <w:vAlign w:val="center"/>
          </w:tcPr>
          <w:p>
            <w:pPr>
              <w:pStyle w:val="12"/>
            </w:pPr>
          </w:p>
        </w:tc>
        <w:tc>
          <w:tcPr>
            <w:tcW w:w="964" w:type="dxa"/>
            <w:vAlign w:val="center"/>
          </w:tcPr>
          <w:p>
            <w:pPr>
              <w:pStyle w:val="12"/>
            </w:pPr>
            <w:r>
              <w:t>100.05</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昌黎县两山乡人民政府（含所属单位）上年末固定资产金额为560.81万元（详见下表）。本年度拟购置固定资产总额为0.00万元，已按要求列入政府采购预算，详见政府采购预算表。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824昌黎县两山乡人民政府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560.81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6269</w:t>
            </w:r>
          </w:p>
        </w:tc>
        <w:tc>
          <w:tcPr>
            <w:tcW w:w="2835" w:type="dxa"/>
            <w:vAlign w:val="center"/>
          </w:tcPr>
          <w:p>
            <w:pPr>
              <w:pStyle w:val="12"/>
            </w:pPr>
            <w:r>
              <w:t>466.12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3850.15</w:t>
            </w:r>
          </w:p>
        </w:tc>
        <w:tc>
          <w:tcPr>
            <w:tcW w:w="2835" w:type="dxa"/>
            <w:vAlign w:val="center"/>
          </w:tcPr>
          <w:p>
            <w:pPr>
              <w:pStyle w:val="12"/>
            </w:pPr>
            <w:r>
              <w:t>462.40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287</w:t>
            </w:r>
          </w:p>
        </w:tc>
        <w:tc>
          <w:tcPr>
            <w:tcW w:w="2835" w:type="dxa"/>
            <w:vAlign w:val="center"/>
          </w:tcPr>
          <w:p>
            <w:pPr>
              <w:pStyle w:val="12"/>
            </w:pPr>
            <w:r>
              <w:t>90.09</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E15766"/>
    <w:rsid w:val="002A34CA"/>
    <w:rsid w:val="004F2069"/>
    <w:rsid w:val="00814684"/>
    <w:rsid w:val="00907681"/>
    <w:rsid w:val="00CB01C8"/>
    <w:rsid w:val="00E15766"/>
    <w:rsid w:val="0B4C2C2B"/>
    <w:rsid w:val="56332D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5350</Words>
  <Characters>30501</Characters>
  <Lines>254</Lines>
  <Paragraphs>71</Paragraphs>
  <TotalTime>7</TotalTime>
  <ScaleCrop>false</ScaleCrop>
  <LinksUpToDate>false</LinksUpToDate>
  <CharactersWithSpaces>35780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2026-01-30T11:40:00Z</dcterms:created>
  <dc:creator>Administrator</dc:creator>
  <cp:lastModifiedBy>Administrator</cp:lastModifiedBy>
  <dcterms:modified xsi:type="dcterms:W3CDTF">2026-02-03T07:25:59Z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FE420E120DBC41B183B5C5A3951B77B2</vt:lpwstr>
  </property>
</Properties>
</file>