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一、昌黎县妇女联合会本级收支预算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一、昌黎县妇女联合会本级收支预算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713001昌黎县妇女联合会本级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97.96</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83.15</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7.52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3.50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3.79</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97.96</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97.96</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97.96</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97.96</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713001昌黎县妇女联合会本级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97.96</w:t>
            </w:r>
          </w:p>
        </w:tc>
        <w:tc>
          <w:tcPr>
            <w:tcW w:w="1134" w:type="dxa"/>
            <w:tcBorders>
              <w:top w:val="single" w:sz="6" w:space="0" w:color="000000"/>
              <w:left w:val="single" w:sz="6" w:space="0" w:color="000000"/>
              <w:right w:val="single" w:sz="6" w:space="0" w:color="000000"/>
            </w:tcBorders>
            <w:vAlign w:val="center"/>
          </w:tcPr>
          <w:p>
            <w:pPr>
              <w:pStyle w:val="23"/>
            </w:pPr>
            <w:r>
              <w:t>97.96</w:t>
            </w:r>
          </w:p>
        </w:tc>
        <w:tc>
          <w:tcPr>
            <w:tcW w:w="1134" w:type="dxa"/>
            <w:tcBorders>
              <w:top w:val="single" w:sz="6" w:space="0" w:color="000000"/>
              <w:left w:val="single" w:sz="6" w:space="0" w:color="000000"/>
              <w:right w:val="single" w:sz="6" w:space="0" w:color="000000"/>
            </w:tcBorders>
            <w:vAlign w:val="center"/>
          </w:tcPr>
          <w:p>
            <w:pPr>
              <w:pStyle w:val="23"/>
            </w:pPr>
            <w:r>
              <w:t>97.96</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1559" w:type="dxa"/>
            <w:tcBorders>
              <w:top w:val="single" w:sz="6" w:space="0" w:color="000000"/>
              <w:left w:val="single" w:sz="6" w:space="0" w:color="000000"/>
              <w:right w:val="single" w:sz="6" w:space="0" w:color="000000"/>
            </w:tcBorders>
            <w:vAlign w:val="center"/>
          </w:tcPr>
          <w:p>
            <w:pPr>
              <w:pStyle w:val="20"/>
            </w:pPr>
            <w:r>
              <w:t>一般公共服务支出</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1559" w:type="dxa"/>
            <w:tcBorders>
              <w:top w:val="single" w:sz="6" w:space="0" w:color="000000"/>
              <w:left w:val="single" w:sz="6" w:space="0" w:color="000000"/>
              <w:right w:val="single" w:sz="6" w:space="0" w:color="000000"/>
            </w:tcBorders>
            <w:vAlign w:val="center"/>
          </w:tcPr>
          <w:p>
            <w:pPr>
              <w:pStyle w:val="20"/>
            </w:pPr>
            <w:r>
              <w:t>群众团体事务</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r>
              <w:t>83.15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64.65</w:t>
            </w:r>
          </w:p>
        </w:tc>
        <w:tc>
          <w:tcPr>
            <w:tcW w:w="1134" w:type="dxa"/>
            <w:tcBorders>
              <w:top w:val="single" w:sz="6" w:space="0" w:color="000000"/>
              <w:left w:val="single" w:sz="6" w:space="0" w:color="000000"/>
              <w:right w:val="single" w:sz="6" w:space="0" w:color="000000"/>
            </w:tcBorders>
            <w:vAlign w:val="center"/>
          </w:tcPr>
          <w:p>
            <w:pPr>
              <w:pStyle w:val="19"/>
            </w:pPr>
            <w:r>
              <w:t>64.65</w:t>
            </w:r>
          </w:p>
        </w:tc>
        <w:tc>
          <w:tcPr>
            <w:tcW w:w="1134" w:type="dxa"/>
            <w:tcBorders>
              <w:top w:val="single" w:sz="6" w:space="0" w:color="000000"/>
              <w:left w:val="single" w:sz="6" w:space="0" w:color="000000"/>
              <w:right w:val="single" w:sz="6" w:space="0" w:color="000000"/>
            </w:tcBorders>
            <w:vAlign w:val="center"/>
          </w:tcPr>
          <w:p>
            <w:pPr>
              <w:pStyle w:val="19"/>
            </w:pPr>
            <w:r>
              <w:t>64.65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2012902</w:t>
            </w:r>
          </w:p>
        </w:tc>
        <w:tc>
          <w:tcPr>
            <w:tcW w:w="1559" w:type="dxa"/>
            <w:tcBorders>
              <w:top w:val="single" w:sz="6" w:space="0" w:color="000000"/>
              <w:left w:val="single" w:sz="6" w:space="0" w:color="000000"/>
              <w:right w:val="single" w:sz="6" w:space="0" w:color="000000"/>
            </w:tcBorders>
            <w:vAlign w:val="center"/>
          </w:tcPr>
          <w:p>
            <w:pPr>
              <w:pStyle w:val="20"/>
            </w:pPr>
            <w:r>
              <w:t>一般行政管理事务</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2012999</w:t>
            </w:r>
          </w:p>
        </w:tc>
        <w:tc>
          <w:tcPr>
            <w:tcW w:w="1559" w:type="dxa"/>
            <w:tcBorders>
              <w:top w:val="single" w:sz="6" w:space="0" w:color="000000"/>
              <w:left w:val="single" w:sz="6" w:space="0" w:color="000000"/>
              <w:right w:val="single" w:sz="6" w:space="0" w:color="000000"/>
            </w:tcBorders>
            <w:vAlign w:val="center"/>
          </w:tcPr>
          <w:p>
            <w:pPr>
              <w:pStyle w:val="20"/>
            </w:pPr>
            <w:r>
              <w:t>其他群众团体事务支出</w:t>
            </w:r>
          </w:p>
        </w:tc>
        <w:tc>
          <w:tcPr>
            <w:tcW w:w="1134" w:type="dxa"/>
            <w:tcBorders>
              <w:top w:val="single" w:sz="6" w:space="0" w:color="000000"/>
              <w:left w:val="single" w:sz="6" w:space="0" w:color="000000"/>
              <w:right w:val="single" w:sz="6" w:space="0" w:color="000000"/>
            </w:tcBorders>
            <w:vAlign w:val="center"/>
          </w:tcPr>
          <w:p>
            <w:pPr>
              <w:pStyle w:val="19"/>
            </w:pPr>
            <w:r>
              <w:t>8.50</w:t>
            </w:r>
          </w:p>
        </w:tc>
        <w:tc>
          <w:tcPr>
            <w:tcW w:w="1134" w:type="dxa"/>
            <w:tcBorders>
              <w:top w:val="single" w:sz="6" w:space="0" w:color="000000"/>
              <w:left w:val="single" w:sz="6" w:space="0" w:color="000000"/>
              <w:right w:val="single" w:sz="6" w:space="0" w:color="000000"/>
            </w:tcBorders>
            <w:vAlign w:val="center"/>
          </w:tcPr>
          <w:p>
            <w:pPr>
              <w:pStyle w:val="19"/>
            </w:pPr>
            <w:r>
              <w:t>8.50</w:t>
            </w:r>
          </w:p>
        </w:tc>
        <w:tc>
          <w:tcPr>
            <w:tcW w:w="1134" w:type="dxa"/>
            <w:tcBorders>
              <w:top w:val="single" w:sz="6" w:space="0" w:color="000000"/>
              <w:left w:val="single" w:sz="6" w:space="0" w:color="000000"/>
              <w:right w:val="single" w:sz="6" w:space="0" w:color="000000"/>
            </w:tcBorders>
            <w:vAlign w:val="center"/>
          </w:tcPr>
          <w:p>
            <w:pPr>
              <w:pStyle w:val="19"/>
            </w:pPr>
            <w:r>
              <w:t>8.50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r>
              <w:t>7.52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r>
              <w:t>3.50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r>
              <w:t>3.79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97.96</w:t>
            </w:r>
          </w:p>
        </w:tc>
        <w:tc>
          <w:tcPr>
            <w:tcW w:w="1361" w:type="dxa"/>
            <w:tcBorders>
              <w:top w:val="single" w:sz="6" w:space="0" w:color="000000"/>
              <w:left w:val="single" w:sz="6" w:space="0" w:color="000000"/>
              <w:right w:val="single" w:sz="6" w:space="0" w:color="000000"/>
            </w:tcBorders>
            <w:vAlign w:val="center"/>
          </w:tcPr>
          <w:p>
            <w:pPr>
              <w:pStyle w:val="23"/>
            </w:pPr>
            <w:r>
              <w:t>79.46</w:t>
            </w:r>
          </w:p>
        </w:tc>
        <w:tc>
          <w:tcPr>
            <w:tcW w:w="1361" w:type="dxa"/>
            <w:tcBorders>
              <w:top w:val="single" w:sz="6" w:space="0" w:color="000000"/>
              <w:left w:val="single" w:sz="6" w:space="0" w:color="000000"/>
              <w:right w:val="single" w:sz="6" w:space="0" w:color="000000"/>
            </w:tcBorders>
            <w:vAlign w:val="center"/>
          </w:tcPr>
          <w:p>
            <w:pPr>
              <w:pStyle w:val="23"/>
            </w:pPr>
            <w:r>
              <w:t>18.50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83.15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18.50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1361" w:type="dxa"/>
            <w:tcBorders>
              <w:top w:val="single" w:sz="6" w:space="0" w:color="000000"/>
              <w:left w:val="single" w:sz="6" w:space="0" w:color="000000"/>
              <w:right w:val="single" w:sz="6" w:space="0" w:color="000000"/>
            </w:tcBorders>
            <w:vAlign w:val="center"/>
          </w:tcPr>
          <w:p>
            <w:pPr>
              <w:pStyle w:val="19"/>
            </w:pPr>
            <w:r>
              <w:t>83.15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18.50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2012902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2012999</w:t>
            </w:r>
          </w:p>
        </w:tc>
        <w:tc>
          <w:tcPr>
            <w:tcW w:w="4535" w:type="dxa"/>
            <w:tcBorders>
              <w:top w:val="single" w:sz="6" w:space="0" w:color="000000"/>
              <w:left w:val="single" w:sz="6" w:space="0" w:color="000000"/>
              <w:right w:val="single" w:sz="6" w:space="0" w:color="000000"/>
            </w:tcBorders>
            <w:vAlign w:val="center"/>
          </w:tcPr>
          <w:p>
            <w:pPr>
              <w:pStyle w:val="20"/>
            </w:pPr>
            <w:r>
              <w:t>其他群众团体事务支出</w:t>
            </w:r>
          </w:p>
        </w:tc>
        <w:tc>
          <w:tcPr>
            <w:tcW w:w="1361" w:type="dxa"/>
            <w:tcBorders>
              <w:top w:val="single" w:sz="6" w:space="0" w:color="000000"/>
              <w:left w:val="single" w:sz="6" w:space="0" w:color="000000"/>
              <w:right w:val="single" w:sz="6" w:space="0" w:color="000000"/>
            </w:tcBorders>
            <w:vAlign w:val="center"/>
          </w:tcPr>
          <w:p>
            <w:pPr>
              <w:pStyle w:val="19"/>
            </w:pPr>
            <w:r>
              <w:t>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97.96</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83.15</w:t>
            </w:r>
          </w:p>
        </w:tc>
        <w:tc>
          <w:tcPr>
            <w:tcW w:w="1474" w:type="dxa"/>
            <w:tcBorders>
              <w:top w:val="single" w:sz="6" w:space="0" w:color="000000"/>
              <w:left w:val="single" w:sz="6" w:space="0" w:color="000000"/>
              <w:right w:val="single" w:sz="6" w:space="0" w:color="000000"/>
            </w:tcBorders>
            <w:vAlign w:val="center"/>
          </w:tcPr>
          <w:p>
            <w:pPr>
              <w:pStyle w:val="19"/>
            </w:pPr>
            <w:r>
              <w:t>83.15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7.52</w:t>
            </w:r>
          </w:p>
        </w:tc>
        <w:tc>
          <w:tcPr>
            <w:tcW w:w="1474" w:type="dxa"/>
            <w:tcBorders>
              <w:top w:val="single" w:sz="6" w:space="0" w:color="000000"/>
              <w:left w:val="single" w:sz="6" w:space="0" w:color="000000"/>
              <w:right w:val="single" w:sz="6" w:space="0" w:color="000000"/>
            </w:tcBorders>
            <w:vAlign w:val="center"/>
          </w:tcPr>
          <w:p>
            <w:pPr>
              <w:pStyle w:val="19"/>
            </w:pPr>
            <w:r>
              <w:t>7.52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3.50</w:t>
            </w:r>
          </w:p>
        </w:tc>
        <w:tc>
          <w:tcPr>
            <w:tcW w:w="1474" w:type="dxa"/>
            <w:tcBorders>
              <w:top w:val="single" w:sz="6" w:space="0" w:color="000000"/>
              <w:left w:val="single" w:sz="6" w:space="0" w:color="000000"/>
              <w:right w:val="single" w:sz="6" w:space="0" w:color="000000"/>
            </w:tcBorders>
            <w:vAlign w:val="center"/>
          </w:tcPr>
          <w:p>
            <w:pPr>
              <w:pStyle w:val="19"/>
            </w:pPr>
            <w:r>
              <w:t>3.50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3.79</w:t>
            </w:r>
          </w:p>
        </w:tc>
        <w:tc>
          <w:tcPr>
            <w:tcW w:w="1474" w:type="dxa"/>
            <w:tcBorders>
              <w:top w:val="single" w:sz="6" w:space="0" w:color="000000"/>
              <w:left w:val="single" w:sz="6" w:space="0" w:color="000000"/>
              <w:right w:val="single" w:sz="6" w:space="0" w:color="000000"/>
            </w:tcBorders>
            <w:vAlign w:val="center"/>
          </w:tcPr>
          <w:p>
            <w:pPr>
              <w:pStyle w:val="19"/>
            </w:pPr>
            <w:r>
              <w:t>3.79</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97.96</w:t>
            </w:r>
          </w:p>
        </w:tc>
        <w:tc>
          <w:tcPr>
            <w:tcW w:w="2551" w:type="dxa"/>
            <w:tcBorders>
              <w:top w:val="single" w:sz="6" w:space="0" w:color="000000"/>
              <w:left w:val="single" w:sz="6" w:space="0" w:color="000000"/>
              <w:right w:val="single" w:sz="6" w:space="0" w:color="000000"/>
            </w:tcBorders>
            <w:vAlign w:val="center"/>
          </w:tcPr>
          <w:p>
            <w:pPr>
              <w:pStyle w:val="23"/>
            </w:pPr>
            <w:r>
              <w:t>79.46</w:t>
            </w:r>
          </w:p>
        </w:tc>
        <w:tc>
          <w:tcPr>
            <w:tcW w:w="2551" w:type="dxa"/>
            <w:vAlign w:val="center"/>
          </w:tcPr>
          <w:p>
            <w:pPr>
              <w:pStyle w:val="23"/>
            </w:pPr>
            <w:r>
              <w:t>18.50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83.15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r>
              <w:t>18.50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2551" w:type="dxa"/>
            <w:tcBorders>
              <w:top w:val="single" w:sz="6" w:space="0" w:color="000000"/>
              <w:left w:val="single" w:sz="6" w:space="0" w:color="000000"/>
              <w:right w:val="single" w:sz="6" w:space="0" w:color="000000"/>
            </w:tcBorders>
            <w:vAlign w:val="center"/>
          </w:tcPr>
          <w:p>
            <w:pPr>
              <w:pStyle w:val="19"/>
            </w:pPr>
            <w:r>
              <w:t>83.15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r>
              <w:t>18.50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2012902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2012999</w:t>
            </w:r>
          </w:p>
        </w:tc>
        <w:tc>
          <w:tcPr>
            <w:tcW w:w="4535" w:type="dxa"/>
            <w:tcBorders>
              <w:top w:val="single" w:sz="6" w:space="0" w:color="000000"/>
              <w:left w:val="single" w:sz="6" w:space="0" w:color="000000"/>
              <w:right w:val="single" w:sz="6" w:space="0" w:color="000000"/>
            </w:tcBorders>
            <w:vAlign w:val="center"/>
          </w:tcPr>
          <w:p>
            <w:pPr>
              <w:pStyle w:val="20"/>
            </w:pPr>
            <w:r>
              <w:t>其他群众团体事务支出</w:t>
            </w:r>
          </w:p>
        </w:tc>
        <w:tc>
          <w:tcPr>
            <w:tcW w:w="2551" w:type="dxa"/>
            <w:tcBorders>
              <w:top w:val="single" w:sz="6" w:space="0" w:color="000000"/>
              <w:left w:val="single" w:sz="6" w:space="0" w:color="000000"/>
              <w:right w:val="single" w:sz="6" w:space="0" w:color="000000"/>
            </w:tcBorders>
            <w:vAlign w:val="center"/>
          </w:tcPr>
          <w:p>
            <w:pPr>
              <w:pStyle w:val="19"/>
            </w:pPr>
            <w:r>
              <w:t>8.50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8.50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79.46</w:t>
            </w:r>
          </w:p>
        </w:tc>
        <w:tc>
          <w:tcPr>
            <w:tcW w:w="2551" w:type="dxa"/>
            <w:tcBorders>
              <w:top w:val="single" w:sz="6" w:space="0" w:color="000000"/>
              <w:left w:val="single" w:sz="6" w:space="0" w:color="000000"/>
              <w:right w:val="single" w:sz="6" w:space="0" w:color="000000"/>
            </w:tcBorders>
            <w:vAlign w:val="center"/>
          </w:tcPr>
          <w:p>
            <w:pPr>
              <w:pStyle w:val="23"/>
            </w:pPr>
            <w:r>
              <w:t>72.00</w:t>
            </w:r>
          </w:p>
        </w:tc>
        <w:tc>
          <w:tcPr>
            <w:tcW w:w="2551" w:type="dxa"/>
            <w:vAlign w:val="center"/>
          </w:tcPr>
          <w:p>
            <w:pPr>
              <w:pStyle w:val="23"/>
            </w:pPr>
            <w:r>
              <w:t>7.46</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65.83</w:t>
            </w:r>
          </w:p>
        </w:tc>
        <w:tc>
          <w:tcPr>
            <w:tcW w:w="2551" w:type="dxa"/>
            <w:tcBorders>
              <w:top w:val="single" w:sz="6" w:space="0" w:color="000000"/>
              <w:left w:val="single" w:sz="6" w:space="0" w:color="000000"/>
              <w:right w:val="single" w:sz="6" w:space="0" w:color="000000"/>
            </w:tcBorders>
            <w:vAlign w:val="center"/>
          </w:tcPr>
          <w:p>
            <w:pPr>
              <w:pStyle w:val="19"/>
            </w:pPr>
            <w:r>
              <w:t>65.83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31.85</w:t>
            </w:r>
          </w:p>
        </w:tc>
        <w:tc>
          <w:tcPr>
            <w:tcW w:w="2551" w:type="dxa"/>
            <w:tcBorders>
              <w:top w:val="single" w:sz="6" w:space="0" w:color="000000"/>
              <w:left w:val="single" w:sz="6" w:space="0" w:color="000000"/>
              <w:right w:val="single" w:sz="6" w:space="0" w:color="000000"/>
            </w:tcBorders>
            <w:vAlign w:val="center"/>
          </w:tcPr>
          <w:p>
            <w:pPr>
              <w:pStyle w:val="19"/>
            </w:pPr>
            <w:r>
              <w:t>31.85</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6.87</w:t>
            </w:r>
          </w:p>
        </w:tc>
        <w:tc>
          <w:tcPr>
            <w:tcW w:w="2551" w:type="dxa"/>
            <w:tcBorders>
              <w:top w:val="single" w:sz="6" w:space="0" w:color="000000"/>
              <w:left w:val="single" w:sz="6" w:space="0" w:color="000000"/>
              <w:right w:val="single" w:sz="6" w:space="0" w:color="000000"/>
            </w:tcBorders>
            <w:vAlign w:val="center"/>
          </w:tcPr>
          <w:p>
            <w:pPr>
              <w:pStyle w:val="19"/>
            </w:pPr>
            <w:r>
              <w:t>6.87</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0.23</w:t>
            </w:r>
          </w:p>
        </w:tc>
        <w:tc>
          <w:tcPr>
            <w:tcW w:w="2551" w:type="dxa"/>
            <w:tcBorders>
              <w:top w:val="single" w:sz="6" w:space="0" w:color="000000"/>
              <w:left w:val="single" w:sz="6" w:space="0" w:color="000000"/>
              <w:right w:val="single" w:sz="6" w:space="0" w:color="000000"/>
            </w:tcBorders>
            <w:vAlign w:val="center"/>
          </w:tcPr>
          <w:p>
            <w:pPr>
              <w:pStyle w:val="19"/>
            </w:pPr>
            <w:r>
              <w:t>0.23</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7.46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7.46</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0.42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0.42</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4.26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4.26</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0.08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0.08</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713001昌黎县妇女联合会本级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1.60</w:t>
            </w:r>
          </w:p>
        </w:tc>
        <w:tc>
          <w:tcPr>
            <w:tcW w:w="2381" w:type="dxa"/>
            <w:tcBorders>
              <w:top w:val="single" w:sz="6" w:space="0" w:color="000000"/>
              <w:left w:val="single" w:sz="6" w:space="0" w:color="000000"/>
              <w:right w:val="single" w:sz="6" w:space="0" w:color="000000"/>
            </w:tcBorders>
            <w:vAlign w:val="center"/>
          </w:tcPr>
          <w:p>
            <w:pPr>
              <w:pStyle w:val="23"/>
            </w:pPr>
            <w:r>
              <w:t>1.60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昌黎县妇女联合会本级2026年单位预算信息公开情况说明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按照《中华人民共和国预算法》、《地方预决算公开操作规程》和《关于进一步推进预算公开工作的实施意见》规定，现将昌黎县妇女联合会本级2026年单位预算公开如下：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1、坚持正确的政治方向，团结、教育全县各族各界妇女以及各类妇女组织同党中央在思想上、政治上、行动上保持高度一致。</w:t>
      </w:r>
    </w:p>
    <w:p>
      <w:pPr>
        <w:pStyle w:val="25"/>
      </w:pPr>
      <w:r>
        <w:t>2、紧密围绕县委、县政府的中心任务开展工作，团结、动员、组织全县妇女群众参与经济建社和社会发展。</w:t>
      </w:r>
    </w:p>
    <w:p>
      <w:pPr>
        <w:pStyle w:val="25"/>
      </w:pPr>
      <w:r>
        <w:t>3、宣传马克思主义妇女观和男女平等思想，教育、引导妇女树立正确的世界观、人生观、价值观，弘扬“自尊、自信、自立、自强”的精神，积极开展对妇女的科技文化及职业技能教育，全面提高妇女素质。</w:t>
      </w:r>
    </w:p>
    <w:p>
      <w:pPr>
        <w:pStyle w:val="25"/>
      </w:pPr>
      <w:r>
        <w:t>4、代表妇女参与社会事务的民主管理和民主监督；关注并积极研究涉及妇女切身利益的热点、难点问题，及时提出解决处理的建议；贯彻实施有关妇女儿童的法律法规，切实维护妇女儿童合法权益。</w:t>
      </w:r>
    </w:p>
    <w:p>
      <w:pPr>
        <w:pStyle w:val="25"/>
      </w:pPr>
      <w:r>
        <w:t>5、坚持为妇女儿童服务、为基层服务，加强与社会各界的联系，协调、推动社会各界为妇女儿童办好事、办实事。</w:t>
      </w:r>
    </w:p>
    <w:p>
      <w:pPr>
        <w:pStyle w:val="25"/>
      </w:pPr>
      <w:r>
        <w:t>6、加强妇联组织自身建设，指导建立健全各级妇联和基层妇女组织。指导各级妇女组织按照章程独立自主地开展工作。加强干部队伍建设，提高妇联干部的整体素质。</w:t>
      </w:r>
    </w:p>
    <w:p>
      <w:pPr>
        <w:pStyle w:val="25"/>
      </w:pPr>
      <w:r>
        <w:t>7、承担县妇女儿童工作委员会的日常工作。</w:t>
      </w:r>
    </w:p>
    <w:p>
      <w:pPr>
        <w:pStyle w:val="25"/>
      </w:pPr>
      <w:r>
        <w:t>8、承办县委、县政府和市妇联交办的其他事项。</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昌黎县妇女联合会本级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97.96万元，其中：一般公共预算收入97.96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妇女联合会本级年度单位预算中支出预算的总体情况。2026年支出预算97.96万元，其中基本支出79.46万元，包括人员经费72.00万元和日常公用经费7.46万元；项目支出18.50万元，主要为用于妇女儿童专项保障资金；预计下年使用的单位资金结余0.00万元。委托业务费共计安排4.80万元，主要用于因技术原因确需对外委托的辅助性工作和确有必要对外委托开展咨询、评审、规划等工作。</w:t>
      </w:r>
    </w:p>
    <w:p>
      <w:pPr>
        <w:pStyle w:val="26"/>
      </w:pPr>
      <w:r>
        <w:t>3、比上年增减情况</w:t>
      </w:r>
    </w:p>
    <w:p>
      <w:pPr>
        <w:pStyle w:val="26"/>
      </w:pPr>
      <w:r>
        <w:t>2026年预算收支安排97.96万元，较2025年预算减少3.16万元，其中：基本支出增加1.84万元，主要为人员工资标准提升、社保缴费基数调整、津贴补贴增加，人员经费支出增加。项目支出减少5.00万元，主要</w:t>
      </w:r>
      <w:bookmarkStart w:id="1" w:name="_GoBack"/>
      <w:bookmarkEnd w:id="1"/>
      <w:r>
        <w:t>为落实过紧日子要求，项目资金支出安排减少。预计下年使用的单位资金结余增加0.00万元。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2026年，我单位机关运行经费共计安排7.46万元，主要用于日常维修、办公用房水电费、办公用房取暖费、办公用房物业管理费等日常运行支出。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1.60万元，其中因公出国（境）费0.00万元；公务用车购置及运维费1.60万元（其中：公务用车购置费为0.00万元，公务用车运维费1.60万元)；公务接待费0.00万元。与2025年相比减少0.20万元，增减变化的主要原因是本单位为落实习惯过紧日子要求，本着厉行节约的原则，压减公务用车运行维护费，合理安排预算支出。</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1、妇女儿童专项保障资金绩效目标表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13032226P004L4N10006L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妇女儿童专项保障资金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资金主要用于妇女儿童保障。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1.二、履行职能，依法维护妇女儿童合法权益。1、创新推进维权服务工作。2、加强家庭教育指导服务工作。3、持续推进困境关爱服务。4、加强“婚姻家庭纠纷预防化解”工作。</w:t>
            </w:r>
          </w:p>
          <w:p>
            <w:pPr>
              <w:pStyle w:val="20"/>
            </w:pPr>
            <w:r>
              <w:t>2.一、提升素质，引领妇女参加经济社会建设。1、开展“双创双服巾帼行动”。2、组织实施“乡村振兴巾帼行动”。3、深化寻找“最美家庭”活动。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受助妇女儿童人数</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考核项目实施对社会发展的影响：受助妇女儿童人数（人次）是指年度内妇女联合会联系帮助的儿童合计人数</w:t>
            </w: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建设示范妇女儿童之家合格率</w:t>
            </w:r>
          </w:p>
        </w:tc>
        <w:tc>
          <w:tcPr>
            <w:tcW w:w="5386" w:type="dxa"/>
            <w:tcBorders>
              <w:top w:val="single" w:sz="6" w:space="0" w:color="000000"/>
              <w:left w:val="single" w:sz="6" w:space="0" w:color="000000"/>
              <w:right w:val="single" w:sz="6" w:space="0" w:color="000000"/>
            </w:tcBorders>
            <w:vAlign w:val="center"/>
          </w:tcPr>
          <w:p>
            <w:pPr>
              <w:pStyle w:val="20"/>
            </w:pPr>
            <w:r>
              <w:t>建设示范妇女儿童之家数量（个）是指年度内建成并通过验收合格的示范儿童之家占全部建设总和的比率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妇女儿童保障投入情况</w:t>
            </w:r>
          </w:p>
        </w:tc>
        <w:tc>
          <w:tcPr>
            <w:tcW w:w="5386" w:type="dxa"/>
            <w:tcBorders>
              <w:top w:val="single" w:sz="6" w:space="0" w:color="000000"/>
              <w:left w:val="single" w:sz="6" w:space="0" w:color="000000"/>
              <w:right w:val="single" w:sz="6" w:space="0" w:color="000000"/>
            </w:tcBorders>
            <w:vAlign w:val="center"/>
          </w:tcPr>
          <w:p>
            <w:pPr>
              <w:pStyle w:val="20"/>
            </w:pPr>
            <w:r>
              <w:t>考核项目实施的成本指标：是年度内财政资金投入情况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妇女巾帼家政技能培训后产生的经济效益</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考核项目实施对社会产生经济效益的影响：通过妇女手工技能培训合格人数产生的经济效益</w:t>
            </w:r>
          </w:p>
        </w:tc>
        <w:tc>
          <w:tcPr>
            <w:tcW w:w="2268" w:type="dxa"/>
            <w:tcBorders>
              <w:top w:val="single" w:sz="6" w:space="0" w:color="000000"/>
              <w:left w:val="single" w:sz="6" w:space="0" w:color="000000"/>
              <w:right w:val="single" w:sz="6" w:space="0" w:color="000000"/>
            </w:tcBorders>
            <w:vAlign w:val="center"/>
          </w:tcPr>
          <w:p>
            <w:pPr>
              <w:pStyle w:val="20"/>
            </w:pPr>
            <w:r>
              <w:t>≥5000元/人/年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困境儿童关爱行动人数</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考核项目实施对社会产生社会效益的影响：通过困境儿童关爱行动人数合计数</w:t>
            </w: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家教普及和宣传指导服务可持续性</w:t>
            </w:r>
          </w:p>
        </w:tc>
        <w:tc>
          <w:tcPr>
            <w:tcW w:w="5386" w:type="dxa"/>
            <w:tcBorders>
              <w:top w:val="single" w:sz="6" w:space="0" w:color="000000"/>
              <w:left w:val="single" w:sz="6" w:space="0" w:color="000000"/>
              <w:right w:val="single" w:sz="6" w:space="0" w:color="000000"/>
            </w:tcBorders>
            <w:vAlign w:val="center"/>
          </w:tcPr>
          <w:p>
            <w:pPr>
              <w:pStyle w:val="20"/>
            </w:pPr>
            <w:r>
              <w:t>考核项目实施妇女工作带动对社会产生可持续影响的情况</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2、关于提前下达2026年省级妇女之家建设专项资金绩效目标表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13032226P002133100042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关于提前下达2026年省级妇女之家建设专项资金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通过创建妇女之家，促进妇联基层组织、阵地、队伍建设得到加强，妇联干部工作能力和服务水平得到提高。</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1.建设1个省级“示范妇女儿童之家”。</w:t>
            </w:r>
          </w:p>
          <w:p>
            <w:pPr>
              <w:pStyle w:val="20"/>
            </w:pPr>
            <w:r>
              <w:t>2.通过创建妇女之家，促进妇联基层组织、阵地、队伍建设得到加强，妇联干部工作能力和服务水平得到提高。</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建设数量（个）</w:t>
            </w:r>
          </w:p>
        </w:tc>
        <w:tc>
          <w:tcPr>
            <w:tcW w:w="5386" w:type="dxa"/>
            <w:tcBorders>
              <w:top w:val="single" w:sz="6" w:space="0" w:color="000000"/>
              <w:left w:val="single" w:sz="6" w:space="0" w:color="000000"/>
              <w:right w:val="single" w:sz="6" w:space="0" w:color="000000"/>
            </w:tcBorders>
            <w:vAlign w:val="center"/>
          </w:tcPr>
          <w:p>
            <w:pPr>
              <w:pStyle w:val="20"/>
            </w:pPr>
            <w:r>
              <w:t>反映基层妇联工作阵地建设情况</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培训妇女群众数量（人次）</w:t>
            </w:r>
          </w:p>
        </w:tc>
        <w:tc>
          <w:tcPr>
            <w:tcW w:w="5386" w:type="dxa"/>
            <w:tcBorders>
              <w:top w:val="single" w:sz="6" w:space="0" w:color="000000"/>
              <w:left w:val="single" w:sz="6" w:space="0" w:color="000000"/>
              <w:right w:val="single" w:sz="6" w:space="0" w:color="000000"/>
            </w:tcBorders>
            <w:vAlign w:val="center"/>
          </w:tcPr>
          <w:p>
            <w:pPr>
              <w:pStyle w:val="20"/>
            </w:pPr>
            <w:r>
              <w:t>反映服务妇女群众水平</w:t>
            </w:r>
          </w:p>
        </w:tc>
        <w:tc>
          <w:tcPr>
            <w:tcW w:w="2268" w:type="dxa"/>
            <w:tcBorders>
              <w:top w:val="single" w:sz="6" w:space="0" w:color="000000"/>
              <w:left w:val="single" w:sz="6" w:space="0" w:color="000000"/>
              <w:right w:val="single" w:sz="6" w:space="0" w:color="000000"/>
            </w:tcBorders>
            <w:vAlign w:val="center"/>
          </w:tcPr>
          <w:p>
            <w:pPr>
              <w:pStyle w:val="20"/>
            </w:pPr>
            <w:r>
              <w:t>1000人次</w:t>
            </w:r>
          </w:p>
        </w:tc>
        <w:tc>
          <w:tcPr>
            <w:tcW w:w="1276" w:type="dxa"/>
            <w:vAlign w:val="center"/>
          </w:tcPr>
          <w:p>
            <w:pPr>
              <w:pStyle w:val="20"/>
            </w:pPr>
            <w:r>
              <w:t>根据村妇女数量，确定比例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通过审核验收的数量（个）</w:t>
            </w:r>
          </w:p>
        </w:tc>
        <w:tc>
          <w:tcPr>
            <w:tcW w:w="5386" w:type="dxa"/>
            <w:tcBorders>
              <w:top w:val="single" w:sz="6" w:space="0" w:color="000000"/>
              <w:left w:val="single" w:sz="6" w:space="0" w:color="000000"/>
              <w:right w:val="single" w:sz="6" w:space="0" w:color="000000"/>
            </w:tcBorders>
            <w:vAlign w:val="center"/>
          </w:tcPr>
          <w:p>
            <w:pPr>
              <w:pStyle w:val="20"/>
            </w:pPr>
            <w:r>
              <w:t>反映建设水平</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市妇联文件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省级“示范妇女儿童之家”政策知晓率（%）</w:t>
            </w:r>
          </w:p>
        </w:tc>
        <w:tc>
          <w:tcPr>
            <w:tcW w:w="5386" w:type="dxa"/>
            <w:tcBorders>
              <w:top w:val="single" w:sz="6" w:space="0" w:color="000000"/>
              <w:left w:val="single" w:sz="6" w:space="0" w:color="000000"/>
              <w:right w:val="single" w:sz="6" w:space="0" w:color="000000"/>
            </w:tcBorders>
            <w:vAlign w:val="center"/>
          </w:tcPr>
          <w:p>
            <w:pPr>
              <w:pStyle w:val="20"/>
            </w:pPr>
            <w:r>
              <w:t>建设点负责人对建设标准、使用说明、管理要求的知晓率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完成建设任务的时间</w:t>
            </w:r>
          </w:p>
        </w:tc>
        <w:tc>
          <w:tcPr>
            <w:tcW w:w="5386" w:type="dxa"/>
            <w:tcBorders>
              <w:top w:val="single" w:sz="6" w:space="0" w:color="000000"/>
              <w:left w:val="single" w:sz="6" w:space="0" w:color="000000"/>
              <w:right w:val="single" w:sz="6" w:space="0" w:color="000000"/>
            </w:tcBorders>
            <w:vAlign w:val="center"/>
          </w:tcPr>
          <w:p>
            <w:pPr>
              <w:pStyle w:val="20"/>
            </w:pPr>
            <w:r>
              <w:t>反映建设速度</w:t>
            </w:r>
          </w:p>
        </w:tc>
        <w:tc>
          <w:tcPr>
            <w:tcW w:w="2268" w:type="dxa"/>
            <w:tcBorders>
              <w:top w:val="single" w:sz="6" w:space="0" w:color="000000"/>
              <w:left w:val="single" w:sz="6" w:space="0" w:color="000000"/>
              <w:right w:val="single" w:sz="6" w:space="0" w:color="000000"/>
            </w:tcBorders>
            <w:vAlign w:val="center"/>
          </w:tcPr>
          <w:p>
            <w:pPr>
              <w:pStyle w:val="20"/>
            </w:pPr>
            <w:r>
              <w:t>9月底前</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建设每个点支出的资金（万元）</w:t>
            </w:r>
          </w:p>
        </w:tc>
        <w:tc>
          <w:tcPr>
            <w:tcW w:w="5386" w:type="dxa"/>
            <w:tcBorders>
              <w:top w:val="single" w:sz="6" w:space="0" w:color="000000"/>
              <w:left w:val="single" w:sz="6" w:space="0" w:color="000000"/>
              <w:right w:val="single" w:sz="6" w:space="0" w:color="000000"/>
            </w:tcBorders>
            <w:vAlign w:val="center"/>
          </w:tcPr>
          <w:p>
            <w:pPr>
              <w:pStyle w:val="20"/>
            </w:pPr>
            <w:r>
              <w:t>反映建设成本</w:t>
            </w:r>
          </w:p>
        </w:tc>
        <w:tc>
          <w:tcPr>
            <w:tcW w:w="2268" w:type="dxa"/>
            <w:tcBorders>
              <w:top w:val="single" w:sz="6" w:space="0" w:color="000000"/>
              <w:left w:val="single" w:sz="6" w:space="0" w:color="000000"/>
              <w:right w:val="single" w:sz="6" w:space="0" w:color="000000"/>
            </w:tcBorders>
            <w:vAlign w:val="center"/>
          </w:tcPr>
          <w:p>
            <w:pPr>
              <w:pStyle w:val="20"/>
            </w:pPr>
            <w:r>
              <w:t>≤8.5万元</w:t>
            </w:r>
          </w:p>
        </w:tc>
        <w:tc>
          <w:tcPr>
            <w:tcW w:w="1276" w:type="dxa"/>
            <w:vAlign w:val="center"/>
          </w:tcPr>
          <w:p>
            <w:pPr>
              <w:pStyle w:val="20"/>
            </w:pPr>
            <w:r>
              <w:t>省妇联文件</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建设实际成本（万元）</w:t>
            </w:r>
          </w:p>
        </w:tc>
        <w:tc>
          <w:tcPr>
            <w:tcW w:w="5386" w:type="dxa"/>
            <w:tcBorders>
              <w:top w:val="single" w:sz="6" w:space="0" w:color="000000"/>
              <w:left w:val="single" w:sz="6" w:space="0" w:color="000000"/>
              <w:right w:val="single" w:sz="6" w:space="0" w:color="000000"/>
            </w:tcBorders>
            <w:vAlign w:val="center"/>
          </w:tcPr>
          <w:p>
            <w:pPr>
              <w:pStyle w:val="20"/>
            </w:pPr>
            <w:r>
              <w:t>反映建设资金的控制情况</w:t>
            </w:r>
          </w:p>
        </w:tc>
        <w:tc>
          <w:tcPr>
            <w:tcW w:w="2268" w:type="dxa"/>
            <w:tcBorders>
              <w:top w:val="single" w:sz="6" w:space="0" w:color="000000"/>
              <w:left w:val="single" w:sz="6" w:space="0" w:color="000000"/>
              <w:right w:val="single" w:sz="6" w:space="0" w:color="000000"/>
            </w:tcBorders>
            <w:vAlign w:val="center"/>
          </w:tcPr>
          <w:p>
            <w:pPr>
              <w:pStyle w:val="20"/>
            </w:pPr>
            <w:r>
              <w:t>≤8.5万元</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省级“示范妇女儿童之家”在本地农村社区的覆盖率（%）</w:t>
            </w:r>
          </w:p>
        </w:tc>
        <w:tc>
          <w:tcPr>
            <w:tcW w:w="5386" w:type="dxa"/>
            <w:tcBorders>
              <w:top w:val="single" w:sz="6" w:space="0" w:color="000000"/>
              <w:left w:val="single" w:sz="6" w:space="0" w:color="000000"/>
              <w:right w:val="single" w:sz="6" w:space="0" w:color="000000"/>
            </w:tcBorders>
            <w:vAlign w:val="center"/>
          </w:tcPr>
          <w:p>
            <w:pPr>
              <w:pStyle w:val="20"/>
            </w:pPr>
            <w:r>
              <w:t>反映在全市农村社区的覆盖率</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全县农村数量</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在相关媒体上进行报道（次）</w:t>
            </w:r>
          </w:p>
        </w:tc>
        <w:tc>
          <w:tcPr>
            <w:tcW w:w="5386" w:type="dxa"/>
            <w:tcBorders>
              <w:top w:val="single" w:sz="6" w:space="0" w:color="000000"/>
              <w:left w:val="single" w:sz="6" w:space="0" w:color="000000"/>
              <w:right w:val="single" w:sz="6" w:space="0" w:color="000000"/>
            </w:tcBorders>
            <w:vAlign w:val="center"/>
          </w:tcPr>
          <w:p>
            <w:pPr>
              <w:pStyle w:val="20"/>
            </w:pPr>
            <w:r>
              <w:t>反映社会认知度</w:t>
            </w:r>
          </w:p>
        </w:tc>
        <w:tc>
          <w:tcPr>
            <w:tcW w:w="2268" w:type="dxa"/>
            <w:tcBorders>
              <w:top w:val="single" w:sz="6" w:space="0" w:color="000000"/>
              <w:left w:val="single" w:sz="6" w:space="0" w:color="000000"/>
              <w:right w:val="single" w:sz="6" w:space="0" w:color="000000"/>
            </w:tcBorders>
            <w:vAlign w:val="center"/>
          </w:tcPr>
          <w:p>
            <w:pPr>
              <w:pStyle w:val="20"/>
            </w:pPr>
            <w:r>
              <w:t>5次</w:t>
            </w:r>
          </w:p>
        </w:tc>
        <w:tc>
          <w:tcPr>
            <w:tcW w:w="1276" w:type="dxa"/>
            <w:vAlign w:val="center"/>
          </w:tcPr>
          <w:p>
            <w:pPr>
              <w:pStyle w:val="20"/>
            </w:pPr>
            <w:r>
              <w:t>工作实际</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组织活动、开展培训（次）</w:t>
            </w:r>
          </w:p>
        </w:tc>
        <w:tc>
          <w:tcPr>
            <w:tcW w:w="5386" w:type="dxa"/>
            <w:tcBorders>
              <w:top w:val="single" w:sz="6" w:space="0" w:color="000000"/>
              <w:left w:val="single" w:sz="6" w:space="0" w:color="000000"/>
              <w:right w:val="single" w:sz="6" w:space="0" w:color="000000"/>
            </w:tcBorders>
            <w:vAlign w:val="center"/>
          </w:tcPr>
          <w:p>
            <w:pPr>
              <w:pStyle w:val="20"/>
            </w:pPr>
            <w:r>
              <w:t>反映发挥作用情况</w:t>
            </w:r>
          </w:p>
        </w:tc>
        <w:tc>
          <w:tcPr>
            <w:tcW w:w="2268" w:type="dxa"/>
            <w:tcBorders>
              <w:top w:val="single" w:sz="6" w:space="0" w:color="000000"/>
              <w:left w:val="single" w:sz="6" w:space="0" w:color="000000"/>
              <w:right w:val="single" w:sz="6" w:space="0" w:color="000000"/>
            </w:tcBorders>
            <w:vAlign w:val="center"/>
          </w:tcPr>
          <w:p>
            <w:pPr>
              <w:pStyle w:val="20"/>
            </w:pPr>
            <w:r>
              <w:t>≥10次</w:t>
            </w:r>
          </w:p>
        </w:tc>
        <w:tc>
          <w:tcPr>
            <w:tcW w:w="1276" w:type="dxa"/>
            <w:vAlign w:val="center"/>
          </w:tcPr>
          <w:p>
            <w:pPr>
              <w:pStyle w:val="20"/>
            </w:pPr>
            <w:r>
              <w:t>工作实际</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基层妇女群众和妇联干部的满意度（%）</w:t>
            </w:r>
          </w:p>
        </w:tc>
        <w:tc>
          <w:tcPr>
            <w:tcW w:w="5386" w:type="dxa"/>
            <w:tcBorders>
              <w:top w:val="single" w:sz="6" w:space="0" w:color="000000"/>
              <w:left w:val="single" w:sz="6" w:space="0" w:color="000000"/>
              <w:right w:val="single" w:sz="6" w:space="0" w:color="000000"/>
            </w:tcBorders>
            <w:vAlign w:val="center"/>
          </w:tcPr>
          <w:p>
            <w:pPr>
              <w:pStyle w:val="20"/>
            </w:pPr>
            <w:r>
              <w:t>反映省级“示范妇女儿童之家”建设水平</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工作实际</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713001昌黎县妇女联合会本级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昌黎县妇女联合会本级上年末固定资产金额为2.75万元（详见下表）。本年度拟购置固定资产总额为0.00万元，已按要求列入政府采购预算，详见政府采购预算表。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713001昌黎县妇女联合会本级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2.75</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85</w:t>
            </w:r>
          </w:p>
        </w:tc>
        <w:tc>
          <w:tcPr>
            <w:tcW w:w="2835" w:type="dxa"/>
            <w:vAlign w:val="center"/>
          </w:tcPr>
          <w:p>
            <w:pPr>
              <w:pStyle w:val="19"/>
            </w:pPr>
            <w:r>
              <w:t>2.75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23</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22</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5B6D31B-159B-4ACB-8D4F-EC17EC7A376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25</Pages>
  <Words>0</Words>
  <Characters>7452</Characters>
  <Lines>0</Lines>
  <Paragraphs>94</Paragraphs>
  <CharactersWithSpaces>9936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2026-01-30T12:19:48Z</dcterms:created>
  <dcterms:modified xsi:type="dcterms:W3CDTF">2026-02-03T07:33:21Z</dcterms:modified>
</cp:coreProperties>
</file>