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一、昌黎县融媒体中心（昌黎县广播电视台、昌黎广播电视转播台）本级收支预算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一、昌黎县融媒体中心（昌黎县广播电视台、昌黎广播电视转播台）本级收支预算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1434.00</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r>
              <w:t>120.00</w:t>
            </w: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r>
              <w:t>1554.00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1554.00</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1554.00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1554.00</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1554.00</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1554.00</w:t>
            </w:r>
          </w:p>
        </w:tc>
        <w:tc>
          <w:tcPr>
            <w:tcW w:w="1134" w:type="dxa"/>
            <w:tcBorders>
              <w:top w:val="single" w:color="000000" w:sz="6" w:space="0"/>
              <w:left w:val="single" w:color="000000" w:sz="6" w:space="0"/>
              <w:right w:val="single" w:color="000000" w:sz="6" w:space="0"/>
            </w:tcBorders>
            <w:vAlign w:val="center"/>
          </w:tcPr>
          <w:p>
            <w:pPr>
              <w:pStyle w:val="15"/>
            </w:pPr>
            <w:r>
              <w:t>1554.00</w:t>
            </w:r>
          </w:p>
        </w:tc>
        <w:tc>
          <w:tcPr>
            <w:tcW w:w="1134" w:type="dxa"/>
            <w:tcBorders>
              <w:top w:val="single" w:color="000000" w:sz="6" w:space="0"/>
              <w:left w:val="single" w:color="000000" w:sz="6" w:space="0"/>
              <w:right w:val="single" w:color="000000" w:sz="6" w:space="0"/>
            </w:tcBorders>
            <w:vAlign w:val="center"/>
          </w:tcPr>
          <w:p>
            <w:pPr>
              <w:pStyle w:val="15"/>
            </w:pPr>
            <w:r>
              <w:t>1434.00</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r>
              <w:t>120.00</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1559"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1554.00</w:t>
            </w:r>
          </w:p>
        </w:tc>
        <w:tc>
          <w:tcPr>
            <w:tcW w:w="1134" w:type="dxa"/>
            <w:tcBorders>
              <w:top w:val="single" w:color="000000" w:sz="6" w:space="0"/>
              <w:left w:val="single" w:color="000000" w:sz="6" w:space="0"/>
              <w:right w:val="single" w:color="000000" w:sz="6" w:space="0"/>
            </w:tcBorders>
            <w:vAlign w:val="center"/>
          </w:tcPr>
          <w:p>
            <w:pPr>
              <w:pStyle w:val="11"/>
            </w:pPr>
            <w:r>
              <w:t>1554.00</w:t>
            </w:r>
          </w:p>
        </w:tc>
        <w:tc>
          <w:tcPr>
            <w:tcW w:w="1134" w:type="dxa"/>
            <w:tcBorders>
              <w:top w:val="single" w:color="000000" w:sz="6" w:space="0"/>
              <w:left w:val="single" w:color="000000" w:sz="6" w:space="0"/>
              <w:right w:val="single" w:color="000000" w:sz="6" w:space="0"/>
            </w:tcBorders>
            <w:vAlign w:val="center"/>
          </w:tcPr>
          <w:p>
            <w:pPr>
              <w:pStyle w:val="11"/>
            </w:pPr>
            <w:r>
              <w:t>1434.00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120.00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20708</w:t>
            </w:r>
          </w:p>
        </w:tc>
        <w:tc>
          <w:tcPr>
            <w:tcW w:w="1559" w:type="dxa"/>
            <w:tcBorders>
              <w:top w:val="single" w:color="000000" w:sz="6" w:space="0"/>
              <w:left w:val="single" w:color="000000" w:sz="6" w:space="0"/>
              <w:right w:val="single" w:color="000000" w:sz="6" w:space="0"/>
            </w:tcBorders>
            <w:vAlign w:val="center"/>
          </w:tcPr>
          <w:p>
            <w:pPr>
              <w:pStyle w:val="12"/>
            </w:pPr>
            <w:r>
              <w:t>广播电视</w:t>
            </w:r>
          </w:p>
        </w:tc>
        <w:tc>
          <w:tcPr>
            <w:tcW w:w="1134" w:type="dxa"/>
            <w:tcBorders>
              <w:top w:val="single" w:color="000000" w:sz="6" w:space="0"/>
              <w:left w:val="single" w:color="000000" w:sz="6" w:space="0"/>
              <w:right w:val="single" w:color="000000" w:sz="6" w:space="0"/>
            </w:tcBorders>
            <w:vAlign w:val="center"/>
          </w:tcPr>
          <w:p>
            <w:pPr>
              <w:pStyle w:val="11"/>
            </w:pPr>
            <w:r>
              <w:t>1550.00</w:t>
            </w:r>
          </w:p>
        </w:tc>
        <w:tc>
          <w:tcPr>
            <w:tcW w:w="1134" w:type="dxa"/>
            <w:tcBorders>
              <w:top w:val="single" w:color="000000" w:sz="6" w:space="0"/>
              <w:left w:val="single" w:color="000000" w:sz="6" w:space="0"/>
              <w:right w:val="single" w:color="000000" w:sz="6" w:space="0"/>
            </w:tcBorders>
            <w:vAlign w:val="center"/>
          </w:tcPr>
          <w:p>
            <w:pPr>
              <w:pStyle w:val="11"/>
            </w:pPr>
            <w:r>
              <w:t>1550.00</w:t>
            </w:r>
          </w:p>
        </w:tc>
        <w:tc>
          <w:tcPr>
            <w:tcW w:w="1134" w:type="dxa"/>
            <w:tcBorders>
              <w:top w:val="single" w:color="000000" w:sz="6" w:space="0"/>
              <w:left w:val="single" w:color="000000" w:sz="6" w:space="0"/>
              <w:right w:val="single" w:color="000000" w:sz="6" w:space="0"/>
            </w:tcBorders>
            <w:vAlign w:val="center"/>
          </w:tcPr>
          <w:p>
            <w:pPr>
              <w:pStyle w:val="11"/>
            </w:pPr>
            <w:r>
              <w:t>1430.00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120.00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2070899</w:t>
            </w:r>
          </w:p>
        </w:tc>
        <w:tc>
          <w:tcPr>
            <w:tcW w:w="1559" w:type="dxa"/>
            <w:tcBorders>
              <w:top w:val="single" w:color="000000" w:sz="6" w:space="0"/>
              <w:left w:val="single" w:color="000000" w:sz="6" w:space="0"/>
              <w:right w:val="single" w:color="000000" w:sz="6" w:space="0"/>
            </w:tcBorders>
            <w:vAlign w:val="center"/>
          </w:tcPr>
          <w:p>
            <w:pPr>
              <w:pStyle w:val="12"/>
            </w:pPr>
            <w:r>
              <w:t>其他广播电视支出</w:t>
            </w:r>
          </w:p>
        </w:tc>
        <w:tc>
          <w:tcPr>
            <w:tcW w:w="1134" w:type="dxa"/>
            <w:tcBorders>
              <w:top w:val="single" w:color="000000" w:sz="6" w:space="0"/>
              <w:left w:val="single" w:color="000000" w:sz="6" w:space="0"/>
              <w:right w:val="single" w:color="000000" w:sz="6" w:space="0"/>
            </w:tcBorders>
            <w:vAlign w:val="center"/>
          </w:tcPr>
          <w:p>
            <w:pPr>
              <w:pStyle w:val="11"/>
            </w:pPr>
            <w:r>
              <w:t>1550.00</w:t>
            </w:r>
          </w:p>
        </w:tc>
        <w:tc>
          <w:tcPr>
            <w:tcW w:w="1134" w:type="dxa"/>
            <w:tcBorders>
              <w:top w:val="single" w:color="000000" w:sz="6" w:space="0"/>
              <w:left w:val="single" w:color="000000" w:sz="6" w:space="0"/>
              <w:right w:val="single" w:color="000000" w:sz="6" w:space="0"/>
            </w:tcBorders>
            <w:vAlign w:val="center"/>
          </w:tcPr>
          <w:p>
            <w:pPr>
              <w:pStyle w:val="11"/>
            </w:pPr>
            <w:r>
              <w:t>1550.00</w:t>
            </w:r>
          </w:p>
        </w:tc>
        <w:tc>
          <w:tcPr>
            <w:tcW w:w="1134" w:type="dxa"/>
            <w:tcBorders>
              <w:top w:val="single" w:color="000000" w:sz="6" w:space="0"/>
              <w:left w:val="single" w:color="000000" w:sz="6" w:space="0"/>
              <w:right w:val="single" w:color="000000" w:sz="6" w:space="0"/>
            </w:tcBorders>
            <w:vAlign w:val="center"/>
          </w:tcPr>
          <w:p>
            <w:pPr>
              <w:pStyle w:val="11"/>
            </w:pPr>
            <w:r>
              <w:t>1430.00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120.00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20799</w:t>
            </w:r>
          </w:p>
        </w:tc>
        <w:tc>
          <w:tcPr>
            <w:tcW w:w="1559"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2079999</w:t>
            </w:r>
          </w:p>
        </w:tc>
        <w:tc>
          <w:tcPr>
            <w:tcW w:w="1559"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1554.00</w:t>
            </w:r>
          </w:p>
        </w:tc>
        <w:tc>
          <w:tcPr>
            <w:tcW w:w="1361" w:type="dxa"/>
            <w:tcBorders>
              <w:top w:val="single" w:color="000000" w:sz="6" w:space="0"/>
              <w:left w:val="single" w:color="000000" w:sz="6" w:space="0"/>
              <w:right w:val="single" w:color="000000" w:sz="6" w:space="0"/>
            </w:tcBorders>
            <w:vAlign w:val="center"/>
          </w:tcPr>
          <w:p>
            <w:pPr>
              <w:pStyle w:val="15"/>
            </w:pPr>
            <w:r>
              <w:t>1505.40</w:t>
            </w:r>
          </w:p>
        </w:tc>
        <w:tc>
          <w:tcPr>
            <w:tcW w:w="1361" w:type="dxa"/>
            <w:tcBorders>
              <w:top w:val="single" w:color="000000" w:sz="6" w:space="0"/>
              <w:left w:val="single" w:color="000000" w:sz="6" w:space="0"/>
              <w:right w:val="single" w:color="000000" w:sz="6" w:space="0"/>
            </w:tcBorders>
            <w:vAlign w:val="center"/>
          </w:tcPr>
          <w:p>
            <w:pPr>
              <w:pStyle w:val="15"/>
            </w:pPr>
            <w:r>
              <w:t>48.60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1554.00</w:t>
            </w:r>
          </w:p>
        </w:tc>
        <w:tc>
          <w:tcPr>
            <w:tcW w:w="1361" w:type="dxa"/>
            <w:tcBorders>
              <w:top w:val="single" w:color="000000" w:sz="6" w:space="0"/>
              <w:left w:val="single" w:color="000000" w:sz="6" w:space="0"/>
              <w:right w:val="single" w:color="000000" w:sz="6" w:space="0"/>
            </w:tcBorders>
            <w:vAlign w:val="center"/>
          </w:tcPr>
          <w:p>
            <w:pPr>
              <w:pStyle w:val="11"/>
            </w:pPr>
            <w:r>
              <w:t>1505.40</w:t>
            </w:r>
          </w:p>
        </w:tc>
        <w:tc>
          <w:tcPr>
            <w:tcW w:w="1361" w:type="dxa"/>
            <w:tcBorders>
              <w:top w:val="single" w:color="000000" w:sz="6" w:space="0"/>
              <w:left w:val="single" w:color="000000" w:sz="6" w:space="0"/>
              <w:right w:val="single" w:color="000000" w:sz="6" w:space="0"/>
            </w:tcBorders>
            <w:vAlign w:val="center"/>
          </w:tcPr>
          <w:p>
            <w:pPr>
              <w:pStyle w:val="11"/>
            </w:pPr>
            <w:r>
              <w:t>48.60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20708</w:t>
            </w:r>
          </w:p>
        </w:tc>
        <w:tc>
          <w:tcPr>
            <w:tcW w:w="4535" w:type="dxa"/>
            <w:tcBorders>
              <w:top w:val="single" w:color="000000" w:sz="6" w:space="0"/>
              <w:left w:val="single" w:color="000000" w:sz="6" w:space="0"/>
              <w:right w:val="single" w:color="000000" w:sz="6" w:space="0"/>
            </w:tcBorders>
            <w:vAlign w:val="center"/>
          </w:tcPr>
          <w:p>
            <w:pPr>
              <w:pStyle w:val="12"/>
            </w:pPr>
            <w:r>
              <w:t>广播电视</w:t>
            </w:r>
          </w:p>
        </w:tc>
        <w:tc>
          <w:tcPr>
            <w:tcW w:w="1361" w:type="dxa"/>
            <w:tcBorders>
              <w:top w:val="single" w:color="000000" w:sz="6" w:space="0"/>
              <w:left w:val="single" w:color="000000" w:sz="6" w:space="0"/>
              <w:right w:val="single" w:color="000000" w:sz="6" w:space="0"/>
            </w:tcBorders>
            <w:vAlign w:val="center"/>
          </w:tcPr>
          <w:p>
            <w:pPr>
              <w:pStyle w:val="11"/>
            </w:pPr>
            <w:r>
              <w:t>1550.00</w:t>
            </w:r>
          </w:p>
        </w:tc>
        <w:tc>
          <w:tcPr>
            <w:tcW w:w="1361" w:type="dxa"/>
            <w:tcBorders>
              <w:top w:val="single" w:color="000000" w:sz="6" w:space="0"/>
              <w:left w:val="single" w:color="000000" w:sz="6" w:space="0"/>
              <w:right w:val="single" w:color="000000" w:sz="6" w:space="0"/>
            </w:tcBorders>
            <w:vAlign w:val="center"/>
          </w:tcPr>
          <w:p>
            <w:pPr>
              <w:pStyle w:val="11"/>
            </w:pPr>
            <w:r>
              <w:t>1505.40</w:t>
            </w:r>
          </w:p>
        </w:tc>
        <w:tc>
          <w:tcPr>
            <w:tcW w:w="1361" w:type="dxa"/>
            <w:tcBorders>
              <w:top w:val="single" w:color="000000" w:sz="6" w:space="0"/>
              <w:left w:val="single" w:color="000000" w:sz="6" w:space="0"/>
              <w:right w:val="single" w:color="000000" w:sz="6" w:space="0"/>
            </w:tcBorders>
            <w:vAlign w:val="center"/>
          </w:tcPr>
          <w:p>
            <w:pPr>
              <w:pStyle w:val="11"/>
            </w:pPr>
            <w:r>
              <w:t>44.60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2070899</w:t>
            </w:r>
          </w:p>
        </w:tc>
        <w:tc>
          <w:tcPr>
            <w:tcW w:w="4535" w:type="dxa"/>
            <w:tcBorders>
              <w:top w:val="single" w:color="000000" w:sz="6" w:space="0"/>
              <w:left w:val="single" w:color="000000" w:sz="6" w:space="0"/>
              <w:right w:val="single" w:color="000000" w:sz="6" w:space="0"/>
            </w:tcBorders>
            <w:vAlign w:val="center"/>
          </w:tcPr>
          <w:p>
            <w:pPr>
              <w:pStyle w:val="12"/>
            </w:pPr>
            <w:r>
              <w:t>其他广播电视支出</w:t>
            </w:r>
          </w:p>
        </w:tc>
        <w:tc>
          <w:tcPr>
            <w:tcW w:w="1361" w:type="dxa"/>
            <w:tcBorders>
              <w:top w:val="single" w:color="000000" w:sz="6" w:space="0"/>
              <w:left w:val="single" w:color="000000" w:sz="6" w:space="0"/>
              <w:right w:val="single" w:color="000000" w:sz="6" w:space="0"/>
            </w:tcBorders>
            <w:vAlign w:val="center"/>
          </w:tcPr>
          <w:p>
            <w:pPr>
              <w:pStyle w:val="11"/>
            </w:pPr>
            <w:r>
              <w:t>1550.00</w:t>
            </w:r>
          </w:p>
        </w:tc>
        <w:tc>
          <w:tcPr>
            <w:tcW w:w="1361" w:type="dxa"/>
            <w:tcBorders>
              <w:top w:val="single" w:color="000000" w:sz="6" w:space="0"/>
              <w:left w:val="single" w:color="000000" w:sz="6" w:space="0"/>
              <w:right w:val="single" w:color="000000" w:sz="6" w:space="0"/>
            </w:tcBorders>
            <w:vAlign w:val="center"/>
          </w:tcPr>
          <w:p>
            <w:pPr>
              <w:pStyle w:val="11"/>
            </w:pPr>
            <w:r>
              <w:t>1505.40</w:t>
            </w:r>
          </w:p>
        </w:tc>
        <w:tc>
          <w:tcPr>
            <w:tcW w:w="1361" w:type="dxa"/>
            <w:tcBorders>
              <w:top w:val="single" w:color="000000" w:sz="6" w:space="0"/>
              <w:left w:val="single" w:color="000000" w:sz="6" w:space="0"/>
              <w:right w:val="single" w:color="000000" w:sz="6" w:space="0"/>
            </w:tcBorders>
            <w:vAlign w:val="center"/>
          </w:tcPr>
          <w:p>
            <w:pPr>
              <w:pStyle w:val="11"/>
            </w:pPr>
            <w:r>
              <w:t>44.60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20799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2079999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1434.00</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r>
              <w:t>1434.00</w:t>
            </w:r>
          </w:p>
        </w:tc>
        <w:tc>
          <w:tcPr>
            <w:tcW w:w="1474" w:type="dxa"/>
            <w:tcBorders>
              <w:top w:val="single" w:color="000000" w:sz="6" w:space="0"/>
              <w:left w:val="single" w:color="000000" w:sz="6" w:space="0"/>
              <w:right w:val="single" w:color="000000" w:sz="6" w:space="0"/>
            </w:tcBorders>
            <w:vAlign w:val="center"/>
          </w:tcPr>
          <w:p>
            <w:pPr>
              <w:pStyle w:val="11"/>
            </w:pPr>
            <w:r>
              <w:t>1434.00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1434.00</w:t>
            </w:r>
          </w:p>
        </w:tc>
        <w:tc>
          <w:tcPr>
            <w:tcW w:w="2551" w:type="dxa"/>
            <w:tcBorders>
              <w:top w:val="single" w:color="000000" w:sz="6" w:space="0"/>
              <w:left w:val="single" w:color="000000" w:sz="6" w:space="0"/>
              <w:right w:val="single" w:color="000000" w:sz="6" w:space="0"/>
            </w:tcBorders>
            <w:vAlign w:val="center"/>
          </w:tcPr>
          <w:p>
            <w:pPr>
              <w:pStyle w:val="15"/>
            </w:pPr>
            <w:r>
              <w:t>1385.40</w:t>
            </w:r>
          </w:p>
        </w:tc>
        <w:tc>
          <w:tcPr>
            <w:tcW w:w="2551" w:type="dxa"/>
            <w:vAlign w:val="center"/>
          </w:tcPr>
          <w:p>
            <w:pPr>
              <w:pStyle w:val="15"/>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1434.00</w:t>
            </w:r>
          </w:p>
        </w:tc>
        <w:tc>
          <w:tcPr>
            <w:tcW w:w="2551" w:type="dxa"/>
            <w:tcBorders>
              <w:top w:val="single" w:color="000000" w:sz="6" w:space="0"/>
              <w:left w:val="single" w:color="000000" w:sz="6" w:space="0"/>
              <w:right w:val="single" w:color="000000" w:sz="6" w:space="0"/>
            </w:tcBorders>
            <w:vAlign w:val="center"/>
          </w:tcPr>
          <w:p>
            <w:pPr>
              <w:pStyle w:val="11"/>
            </w:pPr>
            <w:r>
              <w:t>1385.40</w:t>
            </w: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20708</w:t>
            </w:r>
          </w:p>
        </w:tc>
        <w:tc>
          <w:tcPr>
            <w:tcW w:w="4535" w:type="dxa"/>
            <w:tcBorders>
              <w:top w:val="single" w:color="000000" w:sz="6" w:space="0"/>
              <w:left w:val="single" w:color="000000" w:sz="6" w:space="0"/>
              <w:right w:val="single" w:color="000000" w:sz="6" w:space="0"/>
            </w:tcBorders>
            <w:vAlign w:val="center"/>
          </w:tcPr>
          <w:p>
            <w:pPr>
              <w:pStyle w:val="12"/>
            </w:pPr>
            <w:r>
              <w:t>广播电视</w:t>
            </w:r>
          </w:p>
        </w:tc>
        <w:tc>
          <w:tcPr>
            <w:tcW w:w="2551" w:type="dxa"/>
            <w:tcBorders>
              <w:top w:val="single" w:color="000000" w:sz="6" w:space="0"/>
              <w:left w:val="single" w:color="000000" w:sz="6" w:space="0"/>
              <w:right w:val="single" w:color="000000" w:sz="6" w:space="0"/>
            </w:tcBorders>
            <w:vAlign w:val="center"/>
          </w:tcPr>
          <w:p>
            <w:pPr>
              <w:pStyle w:val="11"/>
            </w:pPr>
            <w:r>
              <w:t>1430.00</w:t>
            </w:r>
          </w:p>
        </w:tc>
        <w:tc>
          <w:tcPr>
            <w:tcW w:w="2551" w:type="dxa"/>
            <w:tcBorders>
              <w:top w:val="single" w:color="000000" w:sz="6" w:space="0"/>
              <w:left w:val="single" w:color="000000" w:sz="6" w:space="0"/>
              <w:right w:val="single" w:color="000000" w:sz="6" w:space="0"/>
            </w:tcBorders>
            <w:vAlign w:val="center"/>
          </w:tcPr>
          <w:p>
            <w:pPr>
              <w:pStyle w:val="11"/>
            </w:pPr>
            <w:r>
              <w:t>1385.40</w:t>
            </w:r>
          </w:p>
        </w:tc>
        <w:tc>
          <w:tcPr>
            <w:tcW w:w="2551" w:type="dxa"/>
            <w:vAlign w:val="center"/>
          </w:tcPr>
          <w:p>
            <w:pPr>
              <w:pStyle w:val="11"/>
            </w:pPr>
            <w:r>
              <w:t>44.60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2070899</w:t>
            </w:r>
          </w:p>
        </w:tc>
        <w:tc>
          <w:tcPr>
            <w:tcW w:w="4535" w:type="dxa"/>
            <w:tcBorders>
              <w:top w:val="single" w:color="000000" w:sz="6" w:space="0"/>
              <w:left w:val="single" w:color="000000" w:sz="6" w:space="0"/>
              <w:right w:val="single" w:color="000000" w:sz="6" w:space="0"/>
            </w:tcBorders>
            <w:vAlign w:val="center"/>
          </w:tcPr>
          <w:p>
            <w:pPr>
              <w:pStyle w:val="12"/>
            </w:pPr>
            <w:r>
              <w:t>其他广播电视支出</w:t>
            </w:r>
          </w:p>
        </w:tc>
        <w:tc>
          <w:tcPr>
            <w:tcW w:w="2551" w:type="dxa"/>
            <w:tcBorders>
              <w:top w:val="single" w:color="000000" w:sz="6" w:space="0"/>
              <w:left w:val="single" w:color="000000" w:sz="6" w:space="0"/>
              <w:right w:val="single" w:color="000000" w:sz="6" w:space="0"/>
            </w:tcBorders>
            <w:vAlign w:val="center"/>
          </w:tcPr>
          <w:p>
            <w:pPr>
              <w:pStyle w:val="11"/>
            </w:pPr>
            <w:r>
              <w:t>1430.00</w:t>
            </w:r>
          </w:p>
        </w:tc>
        <w:tc>
          <w:tcPr>
            <w:tcW w:w="2551" w:type="dxa"/>
            <w:tcBorders>
              <w:top w:val="single" w:color="000000" w:sz="6" w:space="0"/>
              <w:left w:val="single" w:color="000000" w:sz="6" w:space="0"/>
              <w:right w:val="single" w:color="000000" w:sz="6" w:space="0"/>
            </w:tcBorders>
            <w:vAlign w:val="center"/>
          </w:tcPr>
          <w:p>
            <w:pPr>
              <w:pStyle w:val="11"/>
            </w:pPr>
            <w:r>
              <w:t>1385.40</w:t>
            </w:r>
          </w:p>
        </w:tc>
        <w:tc>
          <w:tcPr>
            <w:tcW w:w="2551" w:type="dxa"/>
            <w:vAlign w:val="center"/>
          </w:tcPr>
          <w:p>
            <w:pPr>
              <w:pStyle w:val="11"/>
            </w:pPr>
            <w:r>
              <w:t>44.60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20799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2079999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1385.40</w:t>
            </w:r>
          </w:p>
        </w:tc>
        <w:tc>
          <w:tcPr>
            <w:tcW w:w="2551" w:type="dxa"/>
            <w:tcBorders>
              <w:top w:val="single" w:color="000000" w:sz="6" w:space="0"/>
              <w:left w:val="single" w:color="000000" w:sz="6" w:space="0"/>
              <w:right w:val="single" w:color="000000" w:sz="6" w:space="0"/>
            </w:tcBorders>
            <w:vAlign w:val="center"/>
          </w:tcPr>
          <w:p>
            <w:pPr>
              <w:pStyle w:val="15"/>
            </w:pPr>
            <w:r>
              <w:t>1377.95</w:t>
            </w:r>
          </w:p>
        </w:tc>
        <w:tc>
          <w:tcPr>
            <w:tcW w:w="2551" w:type="dxa"/>
            <w:vAlign w:val="center"/>
          </w:tcPr>
          <w:p>
            <w:pPr>
              <w:pStyle w:val="15"/>
            </w:pPr>
            <w:r>
              <w:t>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1282.93</w:t>
            </w:r>
          </w:p>
        </w:tc>
        <w:tc>
          <w:tcPr>
            <w:tcW w:w="2551" w:type="dxa"/>
            <w:tcBorders>
              <w:top w:val="single" w:color="000000" w:sz="6" w:space="0"/>
              <w:left w:val="single" w:color="000000" w:sz="6" w:space="0"/>
              <w:right w:val="single" w:color="000000" w:sz="6" w:space="0"/>
            </w:tcBorders>
            <w:vAlign w:val="center"/>
          </w:tcPr>
          <w:p>
            <w:pPr>
              <w:pStyle w:val="11"/>
            </w:pPr>
            <w:r>
              <w:t>1282.93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627.71</w:t>
            </w:r>
          </w:p>
        </w:tc>
        <w:tc>
          <w:tcPr>
            <w:tcW w:w="2551" w:type="dxa"/>
            <w:tcBorders>
              <w:top w:val="single" w:color="000000" w:sz="6" w:space="0"/>
              <w:left w:val="single" w:color="000000" w:sz="6" w:space="0"/>
              <w:right w:val="single" w:color="000000" w:sz="6" w:space="0"/>
            </w:tcBorders>
            <w:vAlign w:val="center"/>
          </w:tcPr>
          <w:p>
            <w:pPr>
              <w:pStyle w:val="11"/>
            </w:pPr>
            <w:r>
              <w:t>627.71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76.62</w:t>
            </w:r>
          </w:p>
        </w:tc>
        <w:tc>
          <w:tcPr>
            <w:tcW w:w="2551" w:type="dxa"/>
            <w:tcBorders>
              <w:top w:val="single" w:color="000000" w:sz="6" w:space="0"/>
              <w:left w:val="single" w:color="000000" w:sz="6" w:space="0"/>
              <w:right w:val="single" w:color="000000" w:sz="6" w:space="0"/>
            </w:tcBorders>
            <w:vAlign w:val="center"/>
          </w:tcPr>
          <w:p>
            <w:pPr>
              <w:pStyle w:val="11"/>
            </w:pPr>
            <w:r>
              <w:t>76.62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239.50</w:t>
            </w:r>
          </w:p>
        </w:tc>
        <w:tc>
          <w:tcPr>
            <w:tcW w:w="2551" w:type="dxa"/>
            <w:tcBorders>
              <w:top w:val="single" w:color="000000" w:sz="6" w:space="0"/>
              <w:left w:val="single" w:color="000000" w:sz="6" w:space="0"/>
              <w:right w:val="single" w:color="000000" w:sz="6" w:space="0"/>
            </w:tcBorders>
            <w:vAlign w:val="center"/>
          </w:tcPr>
          <w:p>
            <w:pPr>
              <w:pStyle w:val="11"/>
            </w:pPr>
            <w:r>
              <w:t>239.50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131.46</w:t>
            </w:r>
          </w:p>
        </w:tc>
        <w:tc>
          <w:tcPr>
            <w:tcW w:w="2551" w:type="dxa"/>
            <w:tcBorders>
              <w:top w:val="single" w:color="000000" w:sz="6" w:space="0"/>
              <w:left w:val="single" w:color="000000" w:sz="6" w:space="0"/>
              <w:right w:val="single" w:color="000000" w:sz="6" w:space="0"/>
            </w:tcBorders>
            <w:vAlign w:val="center"/>
          </w:tcPr>
          <w:p>
            <w:pPr>
              <w:pStyle w:val="11"/>
            </w:pPr>
            <w:r>
              <w:t>131.46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51.50</w:t>
            </w:r>
          </w:p>
        </w:tc>
        <w:tc>
          <w:tcPr>
            <w:tcW w:w="2551" w:type="dxa"/>
            <w:tcBorders>
              <w:top w:val="single" w:color="000000" w:sz="6" w:space="0"/>
              <w:left w:val="single" w:color="000000" w:sz="6" w:space="0"/>
              <w:right w:val="single" w:color="000000" w:sz="6" w:space="0"/>
            </w:tcBorders>
            <w:vAlign w:val="center"/>
          </w:tcPr>
          <w:p>
            <w:pPr>
              <w:pStyle w:val="11"/>
            </w:pPr>
            <w:r>
              <w:t>51.50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78.28</w:t>
            </w:r>
          </w:p>
        </w:tc>
        <w:tc>
          <w:tcPr>
            <w:tcW w:w="2551" w:type="dxa"/>
            <w:tcBorders>
              <w:top w:val="single" w:color="000000" w:sz="6" w:space="0"/>
              <w:left w:val="single" w:color="000000" w:sz="6" w:space="0"/>
              <w:right w:val="single" w:color="000000" w:sz="6" w:space="0"/>
            </w:tcBorders>
            <w:vAlign w:val="center"/>
          </w:tcPr>
          <w:p>
            <w:pPr>
              <w:pStyle w:val="11"/>
            </w:pPr>
            <w:r>
              <w:t>78.28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11.40</w:t>
            </w:r>
          </w:p>
        </w:tc>
        <w:tc>
          <w:tcPr>
            <w:tcW w:w="2551" w:type="dxa"/>
            <w:tcBorders>
              <w:top w:val="single" w:color="000000" w:sz="6" w:space="0"/>
              <w:left w:val="single" w:color="000000" w:sz="6" w:space="0"/>
              <w:right w:val="single" w:color="000000" w:sz="6" w:space="0"/>
            </w:tcBorders>
            <w:vAlign w:val="center"/>
          </w:tcPr>
          <w:p>
            <w:pPr>
              <w:pStyle w:val="11"/>
            </w:pPr>
            <w:r>
              <w:t>11.40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66.46</w:t>
            </w:r>
          </w:p>
        </w:tc>
        <w:tc>
          <w:tcPr>
            <w:tcW w:w="2551" w:type="dxa"/>
            <w:tcBorders>
              <w:top w:val="single" w:color="000000" w:sz="6" w:space="0"/>
              <w:left w:val="single" w:color="000000" w:sz="6" w:space="0"/>
              <w:right w:val="single" w:color="000000" w:sz="6" w:space="0"/>
            </w:tcBorders>
            <w:vAlign w:val="center"/>
          </w:tcPr>
          <w:p>
            <w:pPr>
              <w:pStyle w:val="11"/>
            </w:pPr>
            <w:r>
              <w:t>66.46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7.46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6.79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0.67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95.02</w:t>
            </w:r>
          </w:p>
        </w:tc>
        <w:tc>
          <w:tcPr>
            <w:tcW w:w="2551" w:type="dxa"/>
            <w:tcBorders>
              <w:top w:val="single" w:color="000000" w:sz="6" w:space="0"/>
              <w:left w:val="single" w:color="000000" w:sz="6" w:space="0"/>
              <w:right w:val="single" w:color="000000" w:sz="6" w:space="0"/>
            </w:tcBorders>
            <w:vAlign w:val="center"/>
          </w:tcPr>
          <w:p>
            <w:pPr>
              <w:pStyle w:val="11"/>
            </w:pPr>
            <w:r>
              <w:t>95.02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90.03</w:t>
            </w:r>
          </w:p>
        </w:tc>
        <w:tc>
          <w:tcPr>
            <w:tcW w:w="2551" w:type="dxa"/>
            <w:tcBorders>
              <w:top w:val="single" w:color="000000" w:sz="6" w:space="0"/>
              <w:left w:val="single" w:color="000000" w:sz="6" w:space="0"/>
              <w:right w:val="single" w:color="000000" w:sz="6" w:space="0"/>
            </w:tcBorders>
            <w:vAlign w:val="center"/>
          </w:tcPr>
          <w:p>
            <w:pPr>
              <w:pStyle w:val="11"/>
            </w:pPr>
            <w:r>
              <w:t>90.03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4.99</w:t>
            </w:r>
          </w:p>
        </w:tc>
        <w:tc>
          <w:tcPr>
            <w:tcW w:w="2551" w:type="dxa"/>
            <w:tcBorders>
              <w:top w:val="single" w:color="000000" w:sz="6" w:space="0"/>
              <w:left w:val="single" w:color="000000" w:sz="6" w:space="0"/>
              <w:right w:val="single" w:color="000000" w:sz="6" w:space="0"/>
            </w:tcBorders>
            <w:vAlign w:val="center"/>
          </w:tcPr>
          <w:p>
            <w:pPr>
              <w:pStyle w:val="11"/>
            </w:pPr>
            <w:r>
              <w:t>4.99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000000" w:sz="6" w:space="0"/>
              <w:left w:val="single" w:color="000000" w:sz="6" w:space="0"/>
              <w:right w:val="single" w:color="000000" w:sz="6" w:space="0"/>
            </w:tcBorders>
            <w:vAlign w:val="center"/>
          </w:tcPr>
          <w:p>
            <w:pPr>
              <w:pStyle w:val="12"/>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昌黎县融媒体中心（昌黎县广播电视台、昌黎广播电视转播台）本级2026年单位预算信息公开情况说明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融媒体中心（昌黎县广播电视台、昌黎广播电视转播台）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共昌黎县委机构编制委员会关于设立昌黎县融媒休中心的通知》，昌黎县融媒体中心（昌黎县广播电视台、昌黎广播电视转播台）的主要职责是：全面、准确、及时宣传党的路线、方针、政策，充分发挥党和政府的喉舌作用，把握正确舆论导向，负责全县广播电视及纸质媒体、网络媒体宣传工作，研究新闻采编报道中的重大问题，组织全局性重大宣传报道活动，不断提高宣传质量，提高我县新闻舆论的传播力、引导力、影响力、公信力。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昌黎县融媒体中心（昌黎县广播电视台、昌黎广播电视转播台）本级</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1554.00万元，其中：一般公共预算收入1434.00万元，基金预算收入0.00万元，国有资本经营预算收入0.00万元，财政专户核拨收入0.00万元，单位资金收入120.00万元，上年结转结余0.00万元。</w:t>
      </w:r>
    </w:p>
    <w:p>
      <w:pPr>
        <w:pStyle w:val="18"/>
      </w:pPr>
      <w:r>
        <w:t>2、支出说明</w:t>
      </w:r>
    </w:p>
    <w:p>
      <w:pPr>
        <w:pStyle w:val="18"/>
      </w:pPr>
      <w:r>
        <w:t>收支预算总表支出栏、基本支出表、项目支出表按经济分类和支出功能分类科目编制，反映昌黎县融媒体中心（昌黎县广播电视台、昌黎广播电视转播台）本级年度单位预算中支出预算的总体情况。2026年支出预算1554.00万元，其中基本支出1505.40万元，包括人员经费1377.95万元和日常公用经费127.46万元；项目支出48.60万元，主要为河北广播电视微波站设备维护费转移支付资金4万元；劳务派遣人员劳务费44.6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1554.00万元，较2025年预算增加224.00万元，其中：基本支出增加219.30万元，主要为人员工资、保险费用的增加99.3万元，公用经费增加120万元。项目支出增加4.70万元，主要为劳务派遣人员费用增加4.7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2026年，我单位机关运行经费共计安排127.46万元，主要用于日常维修、办公用房水电费、办公用房取暖费、办公用房物业管理费等日常运行支出。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未安排三公经费支出，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13032226P00233310062H</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44.60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44.60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用于单位劳务派遣人员等工资发放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1.保证劳务派遣等人员工资按时发放，确保机关单位正常运行。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劳务派遣人员数量</w:t>
            </w:r>
          </w:p>
        </w:tc>
        <w:tc>
          <w:tcPr>
            <w:tcW w:w="5386" w:type="dxa"/>
            <w:tcBorders>
              <w:top w:val="single" w:color="000000" w:sz="6" w:space="0"/>
              <w:left w:val="single" w:color="000000" w:sz="6" w:space="0"/>
              <w:right w:val="single" w:color="000000" w:sz="6" w:space="0"/>
            </w:tcBorders>
            <w:vAlign w:val="center"/>
          </w:tcPr>
          <w:p>
            <w:pPr>
              <w:pStyle w:val="12"/>
            </w:pPr>
            <w:r>
              <w:t>单位支付的劳务派遣人员数量</w:t>
            </w:r>
          </w:p>
        </w:tc>
        <w:tc>
          <w:tcPr>
            <w:tcW w:w="2268" w:type="dxa"/>
            <w:tcBorders>
              <w:top w:val="single" w:color="000000" w:sz="6" w:space="0"/>
              <w:left w:val="single" w:color="000000" w:sz="6" w:space="0"/>
              <w:right w:val="single" w:color="000000" w:sz="6" w:space="0"/>
            </w:tcBorders>
            <w:vAlign w:val="center"/>
          </w:tcPr>
          <w:p>
            <w:pPr>
              <w:pStyle w:val="12"/>
            </w:pPr>
            <w:r>
              <w:t>≥7人</w:t>
            </w:r>
          </w:p>
        </w:tc>
        <w:tc>
          <w:tcPr>
            <w:tcW w:w="1276" w:type="dxa"/>
            <w:vAlign w:val="center"/>
          </w:tcPr>
          <w:p>
            <w:pPr>
              <w:pStyle w:val="12"/>
            </w:pPr>
            <w:r>
              <w:t>劳务派遣人数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劳务派遣人员经费发放及时率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人员经费到位率</w:t>
            </w:r>
          </w:p>
        </w:tc>
        <w:tc>
          <w:tcPr>
            <w:tcW w:w="5386" w:type="dxa"/>
            <w:tcBorders>
              <w:top w:val="single" w:color="000000" w:sz="6" w:space="0"/>
              <w:left w:val="single" w:color="000000" w:sz="6" w:space="0"/>
              <w:right w:val="single" w:color="000000" w:sz="6" w:space="0"/>
            </w:tcBorders>
            <w:vAlign w:val="center"/>
          </w:tcPr>
          <w:p>
            <w:pPr>
              <w:pStyle w:val="12"/>
            </w:pPr>
            <w:r>
              <w:t>劳务派遣人员经费到位资金的比例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人均劳务费成本</w:t>
            </w:r>
          </w:p>
        </w:tc>
        <w:tc>
          <w:tcPr>
            <w:tcW w:w="5386" w:type="dxa"/>
            <w:tcBorders>
              <w:top w:val="single" w:color="000000" w:sz="6" w:space="0"/>
              <w:left w:val="single" w:color="000000" w:sz="6" w:space="0"/>
              <w:right w:val="single" w:color="000000" w:sz="6" w:space="0"/>
            </w:tcBorders>
            <w:vAlign w:val="center"/>
          </w:tcPr>
          <w:p>
            <w:pPr>
              <w:pStyle w:val="12"/>
            </w:pPr>
            <w:r>
              <w:t>单位支付的劳务派遣人员总费用与劳务派遣人数的比例</w:t>
            </w:r>
          </w:p>
        </w:tc>
        <w:tc>
          <w:tcPr>
            <w:tcW w:w="2268" w:type="dxa"/>
            <w:tcBorders>
              <w:top w:val="single" w:color="000000" w:sz="6" w:space="0"/>
              <w:left w:val="single" w:color="000000" w:sz="6" w:space="0"/>
              <w:right w:val="single" w:color="000000" w:sz="6" w:space="0"/>
            </w:tcBorders>
            <w:vAlign w:val="center"/>
          </w:tcPr>
          <w:p>
            <w:pPr>
              <w:pStyle w:val="12"/>
            </w:pPr>
            <w:r>
              <w:t>≤6.3万元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2、提前下达2026年省级公共文化服务体系建设补助资金绩效目标表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13032226P00217710031E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提高资金使用效率,保障系统正常传输。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1.提高资金使用效率,保障系统正常传输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巡检微波系统次数</w:t>
            </w:r>
          </w:p>
        </w:tc>
        <w:tc>
          <w:tcPr>
            <w:tcW w:w="5386" w:type="dxa"/>
            <w:tcBorders>
              <w:top w:val="single" w:color="000000" w:sz="6" w:space="0"/>
              <w:left w:val="single" w:color="000000" w:sz="6" w:space="0"/>
              <w:right w:val="single" w:color="000000" w:sz="6" w:space="0"/>
            </w:tcBorders>
            <w:vAlign w:val="center"/>
          </w:tcPr>
          <w:p>
            <w:pPr>
              <w:pStyle w:val="12"/>
            </w:pPr>
            <w:r>
              <w:t>值班人员每天巡检次数</w:t>
            </w:r>
          </w:p>
        </w:tc>
        <w:tc>
          <w:tcPr>
            <w:tcW w:w="2268" w:type="dxa"/>
            <w:tcBorders>
              <w:top w:val="single" w:color="000000" w:sz="6" w:space="0"/>
              <w:left w:val="single" w:color="000000" w:sz="6" w:space="0"/>
              <w:right w:val="single" w:color="000000" w:sz="6" w:space="0"/>
            </w:tcBorders>
            <w:vAlign w:val="center"/>
          </w:tcPr>
          <w:p>
            <w:pPr>
              <w:pStyle w:val="12"/>
            </w:pPr>
            <w:r>
              <w:t>≥22次/每天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信号传输中断率</w:t>
            </w:r>
          </w:p>
        </w:tc>
        <w:tc>
          <w:tcPr>
            <w:tcW w:w="5386" w:type="dxa"/>
            <w:tcBorders>
              <w:top w:val="single" w:color="000000" w:sz="6" w:space="0"/>
              <w:left w:val="single" w:color="000000" w:sz="6" w:space="0"/>
              <w:right w:val="single" w:color="000000" w:sz="6" w:space="0"/>
            </w:tcBorders>
            <w:vAlign w:val="center"/>
          </w:tcPr>
          <w:p>
            <w:pPr>
              <w:pStyle w:val="12"/>
            </w:pPr>
            <w:r>
              <w:t>中断天数占运行天数的比例</w:t>
            </w:r>
          </w:p>
        </w:tc>
        <w:tc>
          <w:tcPr>
            <w:tcW w:w="2268" w:type="dxa"/>
            <w:tcBorders>
              <w:top w:val="single" w:color="000000" w:sz="6" w:space="0"/>
              <w:left w:val="single" w:color="000000" w:sz="6" w:space="0"/>
              <w:right w:val="single" w:color="000000" w:sz="6" w:space="0"/>
            </w:tcBorders>
            <w:vAlign w:val="center"/>
          </w:tcPr>
          <w:p>
            <w:pPr>
              <w:pStyle w:val="12"/>
            </w:pPr>
            <w:r>
              <w:t>≤1%</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维修及时率</w:t>
            </w:r>
          </w:p>
        </w:tc>
        <w:tc>
          <w:tcPr>
            <w:tcW w:w="5386" w:type="dxa"/>
            <w:tcBorders>
              <w:top w:val="single" w:color="000000" w:sz="6" w:space="0"/>
              <w:left w:val="single" w:color="000000" w:sz="6" w:space="0"/>
              <w:right w:val="single" w:color="000000" w:sz="6" w:space="0"/>
            </w:tcBorders>
            <w:vAlign w:val="center"/>
          </w:tcPr>
          <w:p>
            <w:pPr>
              <w:pStyle w:val="12"/>
            </w:pPr>
            <w:r>
              <w:t>及时维修次数/故障总次数</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运行维护费用</w:t>
            </w:r>
          </w:p>
        </w:tc>
        <w:tc>
          <w:tcPr>
            <w:tcW w:w="5386" w:type="dxa"/>
            <w:tcBorders>
              <w:top w:val="single" w:color="000000" w:sz="6" w:space="0"/>
              <w:left w:val="single" w:color="000000" w:sz="6" w:space="0"/>
              <w:right w:val="single" w:color="000000" w:sz="6" w:space="0"/>
            </w:tcBorders>
            <w:vAlign w:val="center"/>
          </w:tcPr>
          <w:p>
            <w:pPr>
              <w:pStyle w:val="12"/>
            </w:pPr>
            <w:r>
              <w:t>微波设备运行维护费用</w:t>
            </w:r>
          </w:p>
        </w:tc>
        <w:tc>
          <w:tcPr>
            <w:tcW w:w="2268" w:type="dxa"/>
            <w:tcBorders>
              <w:top w:val="single" w:color="000000" w:sz="6" w:space="0"/>
              <w:left w:val="single" w:color="000000" w:sz="6" w:space="0"/>
              <w:right w:val="single" w:color="000000" w:sz="6" w:space="0"/>
            </w:tcBorders>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降低供电线路的耗电量</w:t>
            </w:r>
          </w:p>
        </w:tc>
        <w:tc>
          <w:tcPr>
            <w:tcW w:w="5386" w:type="dxa"/>
            <w:tcBorders>
              <w:top w:val="single" w:color="000000" w:sz="6" w:space="0"/>
              <w:left w:val="single" w:color="000000" w:sz="6" w:space="0"/>
              <w:right w:val="single" w:color="000000" w:sz="6" w:space="0"/>
            </w:tcBorders>
            <w:vAlign w:val="center"/>
          </w:tcPr>
          <w:p>
            <w:pPr>
              <w:pStyle w:val="12"/>
            </w:pPr>
            <w:r>
              <w:t>合理配电，</w:t>
            </w:r>
            <w:r>
              <w:rPr>
                <w:rFonts w:hint="eastAsia"/>
                <w:lang w:eastAsia="zh-CN"/>
              </w:rPr>
              <w:t>厉行节约</w:t>
            </w:r>
            <w:bookmarkStart w:id="1" w:name="_GoBack"/>
            <w:bookmarkEnd w:id="1"/>
            <w:r>
              <w:t>，降低供电线路的耗电量。</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提高收视质量</w:t>
            </w:r>
          </w:p>
        </w:tc>
        <w:tc>
          <w:tcPr>
            <w:tcW w:w="5386" w:type="dxa"/>
            <w:tcBorders>
              <w:top w:val="single" w:color="000000" w:sz="6" w:space="0"/>
              <w:left w:val="single" w:color="000000" w:sz="6" w:space="0"/>
              <w:right w:val="single" w:color="000000" w:sz="6" w:space="0"/>
            </w:tcBorders>
            <w:vAlign w:val="center"/>
          </w:tcPr>
          <w:p>
            <w:pPr>
              <w:pStyle w:val="12"/>
            </w:pPr>
            <w:r>
              <w:t>让大公人民群众收听、收看到高质量的广播电视节目。</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项目可持续影响期限</w:t>
            </w:r>
          </w:p>
        </w:tc>
        <w:tc>
          <w:tcPr>
            <w:tcW w:w="5386" w:type="dxa"/>
            <w:tcBorders>
              <w:top w:val="single" w:color="000000" w:sz="6" w:space="0"/>
              <w:left w:val="single" w:color="000000" w:sz="6" w:space="0"/>
              <w:right w:val="single" w:color="000000" w:sz="6" w:space="0"/>
            </w:tcBorders>
            <w:vAlign w:val="center"/>
          </w:tcPr>
          <w:p>
            <w:pPr>
              <w:pStyle w:val="12"/>
            </w:pPr>
            <w:r>
              <w:t>保障日常工作的有效运转年限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群众对广播电视公共文化服务满意度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昌黎县融媒体中心（昌黎县广播电视台、昌黎广播电视转播台）本级上年末固定资产金额为3646.90万元（详见下表）。本年度拟购置固定资产总额为56.00万元，已按要求列入政府采购预算，详见政府采购预算表。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460001昌黎县融媒体中心（昌黎县广播电视台、昌黎广播电视转播台）本级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3646.90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4348.44</w:t>
            </w:r>
          </w:p>
        </w:tc>
        <w:tc>
          <w:tcPr>
            <w:tcW w:w="2835" w:type="dxa"/>
            <w:vAlign w:val="center"/>
          </w:tcPr>
          <w:p>
            <w:pPr>
              <w:pStyle w:val="11"/>
            </w:pPr>
            <w:r>
              <w:t>1480.08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r>
              <w:t>3076.34</w:t>
            </w:r>
          </w:p>
        </w:tc>
        <w:tc>
          <w:tcPr>
            <w:tcW w:w="2835" w:type="dxa"/>
            <w:vAlign w:val="center"/>
          </w:tcPr>
          <w:p>
            <w:pPr>
              <w:pStyle w:val="11"/>
            </w:pPr>
            <w:r>
              <w:t>1267.09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2</w:t>
            </w:r>
          </w:p>
        </w:tc>
        <w:tc>
          <w:tcPr>
            <w:tcW w:w="2835" w:type="dxa"/>
            <w:vAlign w:val="center"/>
          </w:tcPr>
          <w:p>
            <w:pPr>
              <w:pStyle w:val="11"/>
            </w:pPr>
            <w:r>
              <w:t>19.24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r>
              <w:t>4</w:t>
            </w:r>
          </w:p>
        </w:tc>
        <w:tc>
          <w:tcPr>
            <w:tcW w:w="2835" w:type="dxa"/>
            <w:vAlign w:val="center"/>
          </w:tcPr>
          <w:p>
            <w:pPr>
              <w:pStyle w:val="11"/>
            </w:pPr>
            <w:r>
              <w:t>133.10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1207</w:t>
            </w:r>
          </w:p>
        </w:tc>
        <w:tc>
          <w:tcPr>
            <w:tcW w:w="2835" w:type="dxa"/>
            <w:vAlign w:val="center"/>
          </w:tcPr>
          <w:p>
            <w:pPr>
              <w:pStyle w:val="11"/>
            </w:pPr>
            <w:r>
              <w:t>2014.48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26230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8">
    <w:name w:val="单元格样式21"/>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9">
    <w:name w:val="单元格样式20"/>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10">
    <w:name w:val="单元格样式1"/>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1">
    <w:name w:val="单元格样式4"/>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2">
    <w:name w:val="单元格样式2"/>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3">
    <w:name w:val="单元格样式3"/>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4">
    <w:name w:val="单元格样式6"/>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5">
    <w:name w:val="单元格样式7"/>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6">
    <w:name w:val="单元格样式5"/>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17">
    <w:name w:val="插入文本样式-插入单位职责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1">
    <w:name w:val="单元格样式23"/>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2">
    <w:name w:val="TOC 4"/>
    <w:basedOn w:val="1"/>
    <w:uiPriority w:val="0"/>
    <w:pPr>
      <w:ind w:left="720"/>
    </w:pPr>
  </w:style>
  <w:style w:type="paragraph" w:customStyle="1" w:styleId="23">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680EC-DF5C-4471-9600-036263717D76}">
  <ds:schemaRefs/>
</ds:datastoreItem>
</file>

<file path=docProps/app.xml><?xml version="1.0" encoding="utf-8"?>
<Properties xmlns="http://schemas.openxmlformats.org/officeDocument/2006/extended-properties" xmlns:vt="http://schemas.openxmlformats.org/officeDocument/2006/docPropsVTypes">
  <Template>Normal.eit</Template>
  <Pages>22</Pages>
  <Words>0</Words>
  <Characters>6486</Characters>
  <Lines>0</Lines>
  <Paragraphs>87</Paragraphs>
  <TotalTime>1</TotalTime>
  <ScaleCrop>false</ScaleCrop>
  <LinksUpToDate>false</LinksUpToDate>
  <CharactersWithSpaces>8648</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2026-02-04T02:49:50Z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C13F9AD694E842B1BF9B35DC7FF95531</vt:lpwstr>
  </property>
</Properties>
</file>