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一、中国共产党昌黎县纪律检查委员会本级收支预算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一、中国共产党昌黎县纪律检查委员会本级收支预算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1614.57</w:t>
            </w:r>
          </w:p>
        </w:tc>
        <w:tc>
          <w:tcPr>
            <w:tcW w:w="4535" w:type="dxa"/>
            <w:vAlign w:val="center"/>
          </w:tcPr>
          <w:p>
            <w:pPr>
              <w:pStyle w:val="12"/>
            </w:pPr>
            <w:r>
              <w:t>一、一般公共服务支出</w:t>
            </w:r>
          </w:p>
        </w:tc>
        <w:tc>
          <w:tcPr>
            <w:tcW w:w="2126" w:type="dxa"/>
            <w:vAlign w:val="center"/>
          </w:tcPr>
          <w:p>
            <w:pPr>
              <w:pStyle w:val="11"/>
            </w:pPr>
            <w:r>
              <w:t>1354.56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1614.57</w:t>
            </w:r>
          </w:p>
        </w:tc>
        <w:tc>
          <w:tcPr>
            <w:tcW w:w="4535" w:type="dxa"/>
            <w:vAlign w:val="center"/>
          </w:tcPr>
          <w:p>
            <w:pPr>
              <w:pStyle w:val="14"/>
            </w:pPr>
            <w:r>
              <w:t>本年支出合计</w:t>
            </w:r>
          </w:p>
        </w:tc>
        <w:tc>
          <w:tcPr>
            <w:tcW w:w="2126" w:type="dxa"/>
            <w:vAlign w:val="center"/>
          </w:tcPr>
          <w:p>
            <w:pPr>
              <w:pStyle w:val="15"/>
            </w:pPr>
            <w:r>
              <w:t>1614.57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1614.57</w:t>
            </w:r>
          </w:p>
        </w:tc>
        <w:tc>
          <w:tcPr>
            <w:tcW w:w="4535" w:type="dxa"/>
            <w:vAlign w:val="center"/>
          </w:tcPr>
          <w:p>
            <w:pPr>
              <w:pStyle w:val="14"/>
            </w:pPr>
            <w:r>
              <w:t>支出总计</w:t>
            </w:r>
          </w:p>
        </w:tc>
        <w:tc>
          <w:tcPr>
            <w:tcW w:w="2126" w:type="dxa"/>
            <w:vAlign w:val="center"/>
          </w:tcPr>
          <w:p>
            <w:pPr>
              <w:pStyle w:val="15"/>
            </w:pPr>
            <w:r>
              <w:t>1614.57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1614.57</w:t>
            </w:r>
          </w:p>
        </w:tc>
        <w:tc>
          <w:tcPr>
            <w:tcW w:w="1134" w:type="dxa"/>
            <w:vAlign w:val="center"/>
          </w:tcPr>
          <w:p>
            <w:pPr>
              <w:pStyle w:val="15"/>
            </w:pPr>
            <w:r>
              <w:t>1614.57</w:t>
            </w:r>
          </w:p>
        </w:tc>
        <w:tc>
          <w:tcPr>
            <w:tcW w:w="1134" w:type="dxa"/>
            <w:vAlign w:val="center"/>
          </w:tcPr>
          <w:p>
            <w:pPr>
              <w:pStyle w:val="15"/>
            </w:pPr>
            <w:r>
              <w:t>1614.57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1354.56</w:t>
            </w:r>
          </w:p>
        </w:tc>
        <w:tc>
          <w:tcPr>
            <w:tcW w:w="1134" w:type="dxa"/>
            <w:vAlign w:val="center"/>
          </w:tcPr>
          <w:p>
            <w:pPr>
              <w:pStyle w:val="11"/>
            </w:pPr>
            <w:r>
              <w:t>1354.56</w:t>
            </w:r>
          </w:p>
        </w:tc>
        <w:tc>
          <w:tcPr>
            <w:tcW w:w="1134" w:type="dxa"/>
            <w:vAlign w:val="center"/>
          </w:tcPr>
          <w:p>
            <w:pPr>
              <w:pStyle w:val="11"/>
            </w:pPr>
            <w:r>
              <w:t>1354.56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1354.56</w:t>
            </w:r>
          </w:p>
        </w:tc>
        <w:tc>
          <w:tcPr>
            <w:tcW w:w="1134" w:type="dxa"/>
            <w:vAlign w:val="center"/>
          </w:tcPr>
          <w:p>
            <w:pPr>
              <w:pStyle w:val="11"/>
            </w:pPr>
            <w:r>
              <w:t>1354.56</w:t>
            </w:r>
          </w:p>
        </w:tc>
        <w:tc>
          <w:tcPr>
            <w:tcW w:w="1134" w:type="dxa"/>
            <w:vAlign w:val="center"/>
          </w:tcPr>
          <w:p>
            <w:pPr>
              <w:pStyle w:val="11"/>
            </w:pPr>
            <w:r>
              <w:t>1354.56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1253.39</w:t>
            </w:r>
          </w:p>
        </w:tc>
        <w:tc>
          <w:tcPr>
            <w:tcW w:w="1134" w:type="dxa"/>
            <w:vAlign w:val="center"/>
          </w:tcPr>
          <w:p>
            <w:pPr>
              <w:pStyle w:val="11"/>
            </w:pPr>
            <w:r>
              <w:t>1253.39</w:t>
            </w:r>
          </w:p>
        </w:tc>
        <w:tc>
          <w:tcPr>
            <w:tcW w:w="1134" w:type="dxa"/>
            <w:vAlign w:val="center"/>
          </w:tcPr>
          <w:p>
            <w:pPr>
              <w:pStyle w:val="11"/>
            </w:pPr>
            <w:r>
              <w:t>1253.39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70.20</w:t>
            </w:r>
          </w:p>
        </w:tc>
        <w:tc>
          <w:tcPr>
            <w:tcW w:w="1134" w:type="dxa"/>
            <w:vAlign w:val="center"/>
          </w:tcPr>
          <w:p>
            <w:pPr>
              <w:pStyle w:val="11"/>
            </w:pPr>
            <w:r>
              <w:t>70.20</w:t>
            </w:r>
          </w:p>
        </w:tc>
        <w:tc>
          <w:tcPr>
            <w:tcW w:w="1134" w:type="dxa"/>
            <w:vAlign w:val="center"/>
          </w:tcPr>
          <w:p>
            <w:pPr>
              <w:pStyle w:val="11"/>
            </w:pPr>
            <w:r>
              <w:t>70.20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2011150</w:t>
            </w:r>
          </w:p>
        </w:tc>
        <w:tc>
          <w:tcPr>
            <w:tcW w:w="1559" w:type="dxa"/>
            <w:vAlign w:val="center"/>
          </w:tcPr>
          <w:p>
            <w:pPr>
              <w:pStyle w:val="12"/>
            </w:pPr>
            <w:r>
              <w:t>事业运行</w:t>
            </w:r>
          </w:p>
        </w:tc>
        <w:tc>
          <w:tcPr>
            <w:tcW w:w="1134" w:type="dxa"/>
            <w:vAlign w:val="center"/>
          </w:tcPr>
          <w:p>
            <w:pPr>
              <w:pStyle w:val="11"/>
            </w:pPr>
            <w:r>
              <w:t>30.98</w:t>
            </w:r>
          </w:p>
        </w:tc>
        <w:tc>
          <w:tcPr>
            <w:tcW w:w="1134" w:type="dxa"/>
            <w:vAlign w:val="center"/>
          </w:tcPr>
          <w:p>
            <w:pPr>
              <w:pStyle w:val="11"/>
            </w:pPr>
            <w:r>
              <w:t>30.98</w:t>
            </w:r>
          </w:p>
        </w:tc>
        <w:tc>
          <w:tcPr>
            <w:tcW w:w="1134" w:type="dxa"/>
            <w:vAlign w:val="center"/>
          </w:tcPr>
          <w:p>
            <w:pPr>
              <w:pStyle w:val="11"/>
            </w:pPr>
            <w:r>
              <w:t>30.98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132.71</w:t>
            </w:r>
          </w:p>
        </w:tc>
        <w:tc>
          <w:tcPr>
            <w:tcW w:w="1134" w:type="dxa"/>
            <w:vAlign w:val="center"/>
          </w:tcPr>
          <w:p>
            <w:pPr>
              <w:pStyle w:val="11"/>
            </w:pPr>
            <w:r>
              <w:t>132.71</w:t>
            </w:r>
          </w:p>
        </w:tc>
        <w:tc>
          <w:tcPr>
            <w:tcW w:w="1134" w:type="dxa"/>
            <w:vAlign w:val="center"/>
          </w:tcPr>
          <w:p>
            <w:pPr>
              <w:pStyle w:val="11"/>
            </w:pPr>
            <w:r>
              <w:t>132.71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132.71</w:t>
            </w:r>
          </w:p>
        </w:tc>
        <w:tc>
          <w:tcPr>
            <w:tcW w:w="1134" w:type="dxa"/>
            <w:vAlign w:val="center"/>
          </w:tcPr>
          <w:p>
            <w:pPr>
              <w:pStyle w:val="11"/>
            </w:pPr>
            <w:r>
              <w:t>132.71</w:t>
            </w:r>
          </w:p>
        </w:tc>
        <w:tc>
          <w:tcPr>
            <w:tcW w:w="1134" w:type="dxa"/>
            <w:vAlign w:val="center"/>
          </w:tcPr>
          <w:p>
            <w:pPr>
              <w:pStyle w:val="11"/>
            </w:pPr>
            <w:r>
              <w:t>132.71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132.71</w:t>
            </w:r>
          </w:p>
        </w:tc>
        <w:tc>
          <w:tcPr>
            <w:tcW w:w="1134" w:type="dxa"/>
            <w:vAlign w:val="center"/>
          </w:tcPr>
          <w:p>
            <w:pPr>
              <w:pStyle w:val="11"/>
            </w:pPr>
            <w:r>
              <w:t>132.71</w:t>
            </w:r>
          </w:p>
        </w:tc>
        <w:tc>
          <w:tcPr>
            <w:tcW w:w="1134" w:type="dxa"/>
            <w:vAlign w:val="center"/>
          </w:tcPr>
          <w:p>
            <w:pPr>
              <w:pStyle w:val="11"/>
            </w:pPr>
            <w:r>
              <w:t>132.71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60.94</w:t>
            </w:r>
          </w:p>
        </w:tc>
        <w:tc>
          <w:tcPr>
            <w:tcW w:w="1134" w:type="dxa"/>
            <w:vAlign w:val="center"/>
          </w:tcPr>
          <w:p>
            <w:pPr>
              <w:pStyle w:val="11"/>
            </w:pPr>
            <w:r>
              <w:t>60.94</w:t>
            </w:r>
          </w:p>
        </w:tc>
        <w:tc>
          <w:tcPr>
            <w:tcW w:w="1134" w:type="dxa"/>
            <w:vAlign w:val="center"/>
          </w:tcPr>
          <w:p>
            <w:pPr>
              <w:pStyle w:val="11"/>
            </w:pPr>
            <w:r>
              <w:t>60.94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60.94</w:t>
            </w:r>
          </w:p>
        </w:tc>
        <w:tc>
          <w:tcPr>
            <w:tcW w:w="1134" w:type="dxa"/>
            <w:vAlign w:val="center"/>
          </w:tcPr>
          <w:p>
            <w:pPr>
              <w:pStyle w:val="11"/>
            </w:pPr>
            <w:r>
              <w:t>60.94</w:t>
            </w:r>
          </w:p>
        </w:tc>
        <w:tc>
          <w:tcPr>
            <w:tcW w:w="1134" w:type="dxa"/>
            <w:vAlign w:val="center"/>
          </w:tcPr>
          <w:p>
            <w:pPr>
              <w:pStyle w:val="11"/>
            </w:pPr>
            <w:r>
              <w:t>60.94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58.11</w:t>
            </w:r>
          </w:p>
        </w:tc>
        <w:tc>
          <w:tcPr>
            <w:tcW w:w="1134" w:type="dxa"/>
            <w:vAlign w:val="center"/>
          </w:tcPr>
          <w:p>
            <w:pPr>
              <w:pStyle w:val="11"/>
            </w:pPr>
            <w:r>
              <w:t>58.11</w:t>
            </w:r>
          </w:p>
        </w:tc>
        <w:tc>
          <w:tcPr>
            <w:tcW w:w="1134" w:type="dxa"/>
            <w:vAlign w:val="center"/>
          </w:tcPr>
          <w:p>
            <w:pPr>
              <w:pStyle w:val="11"/>
            </w:pPr>
            <w:r>
              <w:t>58.11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2.84</w:t>
            </w:r>
          </w:p>
        </w:tc>
        <w:tc>
          <w:tcPr>
            <w:tcW w:w="1134" w:type="dxa"/>
            <w:vAlign w:val="center"/>
          </w:tcPr>
          <w:p>
            <w:pPr>
              <w:pStyle w:val="11"/>
            </w:pPr>
            <w:r>
              <w:t>2.84</w:t>
            </w:r>
          </w:p>
        </w:tc>
        <w:tc>
          <w:tcPr>
            <w:tcW w:w="1134" w:type="dxa"/>
            <w:vAlign w:val="center"/>
          </w:tcPr>
          <w:p>
            <w:pPr>
              <w:pStyle w:val="11"/>
            </w:pPr>
            <w:r>
              <w:t>2.84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66.35</w:t>
            </w:r>
          </w:p>
        </w:tc>
        <w:tc>
          <w:tcPr>
            <w:tcW w:w="1134" w:type="dxa"/>
            <w:vAlign w:val="center"/>
          </w:tcPr>
          <w:p>
            <w:pPr>
              <w:pStyle w:val="11"/>
            </w:pPr>
            <w:r>
              <w:t>66.35</w:t>
            </w:r>
          </w:p>
        </w:tc>
        <w:tc>
          <w:tcPr>
            <w:tcW w:w="1134" w:type="dxa"/>
            <w:vAlign w:val="center"/>
          </w:tcPr>
          <w:p>
            <w:pPr>
              <w:pStyle w:val="11"/>
            </w:pPr>
            <w:r>
              <w:t>66.35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66.35</w:t>
            </w:r>
          </w:p>
        </w:tc>
        <w:tc>
          <w:tcPr>
            <w:tcW w:w="1134" w:type="dxa"/>
            <w:vAlign w:val="center"/>
          </w:tcPr>
          <w:p>
            <w:pPr>
              <w:pStyle w:val="11"/>
            </w:pPr>
            <w:r>
              <w:t>66.35</w:t>
            </w:r>
          </w:p>
        </w:tc>
        <w:tc>
          <w:tcPr>
            <w:tcW w:w="1134" w:type="dxa"/>
            <w:vAlign w:val="center"/>
          </w:tcPr>
          <w:p>
            <w:pPr>
              <w:pStyle w:val="11"/>
            </w:pPr>
            <w:r>
              <w:t>66.35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66.35</w:t>
            </w:r>
          </w:p>
        </w:tc>
        <w:tc>
          <w:tcPr>
            <w:tcW w:w="1134" w:type="dxa"/>
            <w:vAlign w:val="center"/>
          </w:tcPr>
          <w:p>
            <w:pPr>
              <w:pStyle w:val="11"/>
            </w:pPr>
            <w:r>
              <w:t>66.35</w:t>
            </w:r>
          </w:p>
        </w:tc>
        <w:tc>
          <w:tcPr>
            <w:tcW w:w="1134" w:type="dxa"/>
            <w:vAlign w:val="center"/>
          </w:tcPr>
          <w:p>
            <w:pPr>
              <w:pStyle w:val="11"/>
            </w:pPr>
            <w:r>
              <w:t>66.35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1614.57</w:t>
            </w:r>
          </w:p>
        </w:tc>
        <w:tc>
          <w:tcPr>
            <w:tcW w:w="1361" w:type="dxa"/>
            <w:vAlign w:val="center"/>
          </w:tcPr>
          <w:p>
            <w:pPr>
              <w:pStyle w:val="15"/>
            </w:pPr>
            <w:r>
              <w:t>1544.37</w:t>
            </w:r>
          </w:p>
        </w:tc>
        <w:tc>
          <w:tcPr>
            <w:tcW w:w="1361" w:type="dxa"/>
            <w:vAlign w:val="center"/>
          </w:tcPr>
          <w:p>
            <w:pPr>
              <w:pStyle w:val="15"/>
            </w:pPr>
            <w:r>
              <w:t>70.20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1354.56</w:t>
            </w:r>
          </w:p>
        </w:tc>
        <w:tc>
          <w:tcPr>
            <w:tcW w:w="1361" w:type="dxa"/>
            <w:vAlign w:val="center"/>
          </w:tcPr>
          <w:p>
            <w:pPr>
              <w:pStyle w:val="11"/>
            </w:pPr>
            <w:r>
              <w:t>1284.36</w:t>
            </w:r>
          </w:p>
        </w:tc>
        <w:tc>
          <w:tcPr>
            <w:tcW w:w="1361" w:type="dxa"/>
            <w:vAlign w:val="center"/>
          </w:tcPr>
          <w:p>
            <w:pPr>
              <w:pStyle w:val="11"/>
            </w:pPr>
            <w:r>
              <w:t>70.20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1354.56</w:t>
            </w:r>
          </w:p>
        </w:tc>
        <w:tc>
          <w:tcPr>
            <w:tcW w:w="1361" w:type="dxa"/>
            <w:vAlign w:val="center"/>
          </w:tcPr>
          <w:p>
            <w:pPr>
              <w:pStyle w:val="11"/>
            </w:pPr>
            <w:r>
              <w:t>1284.36</w:t>
            </w:r>
          </w:p>
        </w:tc>
        <w:tc>
          <w:tcPr>
            <w:tcW w:w="1361" w:type="dxa"/>
            <w:vAlign w:val="center"/>
          </w:tcPr>
          <w:p>
            <w:pPr>
              <w:pStyle w:val="11"/>
            </w:pPr>
            <w:r>
              <w:t>70.20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1253.39</w:t>
            </w:r>
          </w:p>
        </w:tc>
        <w:tc>
          <w:tcPr>
            <w:tcW w:w="1361" w:type="dxa"/>
            <w:vAlign w:val="center"/>
          </w:tcPr>
          <w:p>
            <w:pPr>
              <w:pStyle w:val="11"/>
            </w:pPr>
            <w:r>
              <w:t>1253.39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70.20</w:t>
            </w:r>
          </w:p>
        </w:tc>
        <w:tc>
          <w:tcPr>
            <w:tcW w:w="1361" w:type="dxa"/>
            <w:vAlign w:val="center"/>
          </w:tcPr>
          <w:p>
            <w:pPr>
              <w:pStyle w:val="11"/>
            </w:pPr>
          </w:p>
        </w:tc>
        <w:tc>
          <w:tcPr>
            <w:tcW w:w="1361" w:type="dxa"/>
            <w:vAlign w:val="center"/>
          </w:tcPr>
          <w:p>
            <w:pPr>
              <w:pStyle w:val="11"/>
            </w:pPr>
            <w:r>
              <w:t>70.20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2011150</w:t>
            </w:r>
          </w:p>
        </w:tc>
        <w:tc>
          <w:tcPr>
            <w:tcW w:w="4535" w:type="dxa"/>
            <w:vAlign w:val="center"/>
          </w:tcPr>
          <w:p>
            <w:pPr>
              <w:pStyle w:val="12"/>
            </w:pPr>
            <w:r>
              <w:t>事业运行</w:t>
            </w:r>
          </w:p>
        </w:tc>
        <w:tc>
          <w:tcPr>
            <w:tcW w:w="1361" w:type="dxa"/>
            <w:vAlign w:val="center"/>
          </w:tcPr>
          <w:p>
            <w:pPr>
              <w:pStyle w:val="11"/>
            </w:pPr>
            <w:r>
              <w:t>30.98</w:t>
            </w:r>
          </w:p>
        </w:tc>
        <w:tc>
          <w:tcPr>
            <w:tcW w:w="1361" w:type="dxa"/>
            <w:vAlign w:val="center"/>
          </w:tcPr>
          <w:p>
            <w:pPr>
              <w:pStyle w:val="11"/>
            </w:pPr>
            <w:r>
              <w:t>30.98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132.71</w:t>
            </w:r>
          </w:p>
        </w:tc>
        <w:tc>
          <w:tcPr>
            <w:tcW w:w="1361" w:type="dxa"/>
            <w:vAlign w:val="center"/>
          </w:tcPr>
          <w:p>
            <w:pPr>
              <w:pStyle w:val="11"/>
            </w:pPr>
            <w:r>
              <w:t>132.71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132.71</w:t>
            </w:r>
          </w:p>
        </w:tc>
        <w:tc>
          <w:tcPr>
            <w:tcW w:w="1361" w:type="dxa"/>
            <w:vAlign w:val="center"/>
          </w:tcPr>
          <w:p>
            <w:pPr>
              <w:pStyle w:val="11"/>
            </w:pPr>
            <w:r>
              <w:t>132.71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132.71</w:t>
            </w:r>
          </w:p>
        </w:tc>
        <w:tc>
          <w:tcPr>
            <w:tcW w:w="1361" w:type="dxa"/>
            <w:vAlign w:val="center"/>
          </w:tcPr>
          <w:p>
            <w:pPr>
              <w:pStyle w:val="11"/>
            </w:pPr>
            <w:r>
              <w:t>132.71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60.94</w:t>
            </w:r>
          </w:p>
        </w:tc>
        <w:tc>
          <w:tcPr>
            <w:tcW w:w="1361" w:type="dxa"/>
            <w:vAlign w:val="center"/>
          </w:tcPr>
          <w:p>
            <w:pPr>
              <w:pStyle w:val="11"/>
            </w:pPr>
            <w:r>
              <w:t>60.94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60.94</w:t>
            </w:r>
          </w:p>
        </w:tc>
        <w:tc>
          <w:tcPr>
            <w:tcW w:w="1361" w:type="dxa"/>
            <w:vAlign w:val="center"/>
          </w:tcPr>
          <w:p>
            <w:pPr>
              <w:pStyle w:val="11"/>
            </w:pPr>
            <w:r>
              <w:t>60.94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58.11</w:t>
            </w:r>
          </w:p>
        </w:tc>
        <w:tc>
          <w:tcPr>
            <w:tcW w:w="1361" w:type="dxa"/>
            <w:vAlign w:val="center"/>
          </w:tcPr>
          <w:p>
            <w:pPr>
              <w:pStyle w:val="11"/>
            </w:pPr>
            <w:r>
              <w:t>58.11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2.84</w:t>
            </w:r>
          </w:p>
        </w:tc>
        <w:tc>
          <w:tcPr>
            <w:tcW w:w="1361" w:type="dxa"/>
            <w:vAlign w:val="center"/>
          </w:tcPr>
          <w:p>
            <w:pPr>
              <w:pStyle w:val="11"/>
            </w:pPr>
            <w:r>
              <w:t>2.84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66.35</w:t>
            </w:r>
          </w:p>
        </w:tc>
        <w:tc>
          <w:tcPr>
            <w:tcW w:w="1361" w:type="dxa"/>
            <w:vAlign w:val="center"/>
          </w:tcPr>
          <w:p>
            <w:pPr>
              <w:pStyle w:val="11"/>
            </w:pPr>
            <w:r>
              <w:t>66.35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66.35</w:t>
            </w:r>
          </w:p>
        </w:tc>
        <w:tc>
          <w:tcPr>
            <w:tcW w:w="1361" w:type="dxa"/>
            <w:vAlign w:val="center"/>
          </w:tcPr>
          <w:p>
            <w:pPr>
              <w:pStyle w:val="11"/>
            </w:pPr>
            <w:r>
              <w:t>66.35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66.35</w:t>
            </w:r>
          </w:p>
        </w:tc>
        <w:tc>
          <w:tcPr>
            <w:tcW w:w="1361" w:type="dxa"/>
            <w:vAlign w:val="center"/>
          </w:tcPr>
          <w:p>
            <w:pPr>
              <w:pStyle w:val="11"/>
            </w:pPr>
            <w:r>
              <w:t>66.35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1614.57</w:t>
            </w:r>
          </w:p>
        </w:tc>
        <w:tc>
          <w:tcPr>
            <w:tcW w:w="3402" w:type="dxa"/>
            <w:vAlign w:val="center"/>
          </w:tcPr>
          <w:p>
            <w:pPr>
              <w:pStyle w:val="12"/>
            </w:pPr>
            <w:r>
              <w:t>一、一般公共服务支出</w:t>
            </w:r>
          </w:p>
        </w:tc>
        <w:tc>
          <w:tcPr>
            <w:tcW w:w="1474" w:type="dxa"/>
            <w:vAlign w:val="center"/>
          </w:tcPr>
          <w:p>
            <w:pPr>
              <w:pStyle w:val="11"/>
            </w:pPr>
            <w:r>
              <w:t>1354.56</w:t>
            </w:r>
          </w:p>
        </w:tc>
        <w:tc>
          <w:tcPr>
            <w:tcW w:w="1474" w:type="dxa"/>
            <w:vAlign w:val="center"/>
          </w:tcPr>
          <w:p>
            <w:pPr>
              <w:pStyle w:val="11"/>
            </w:pPr>
            <w:r>
              <w:t>1354.56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132.71</w:t>
            </w:r>
          </w:p>
        </w:tc>
        <w:tc>
          <w:tcPr>
            <w:tcW w:w="1474" w:type="dxa"/>
            <w:vAlign w:val="center"/>
          </w:tcPr>
          <w:p>
            <w:pPr>
              <w:pStyle w:val="11"/>
            </w:pPr>
            <w:r>
              <w:t>132.71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60.94</w:t>
            </w:r>
          </w:p>
        </w:tc>
        <w:tc>
          <w:tcPr>
            <w:tcW w:w="1474" w:type="dxa"/>
            <w:vAlign w:val="center"/>
          </w:tcPr>
          <w:p>
            <w:pPr>
              <w:pStyle w:val="11"/>
            </w:pPr>
            <w:r>
              <w:t>60.94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66.35</w:t>
            </w:r>
          </w:p>
        </w:tc>
        <w:tc>
          <w:tcPr>
            <w:tcW w:w="1474" w:type="dxa"/>
            <w:vAlign w:val="center"/>
          </w:tcPr>
          <w:p>
            <w:pPr>
              <w:pStyle w:val="11"/>
            </w:pPr>
            <w:r>
              <w:t>66.35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1614.57</w:t>
            </w:r>
          </w:p>
        </w:tc>
        <w:tc>
          <w:tcPr>
            <w:tcW w:w="3402" w:type="dxa"/>
            <w:vAlign w:val="center"/>
          </w:tcPr>
          <w:p>
            <w:pPr>
              <w:pStyle w:val="14"/>
            </w:pPr>
            <w:r>
              <w:t>本年支出合计</w:t>
            </w:r>
          </w:p>
        </w:tc>
        <w:tc>
          <w:tcPr>
            <w:tcW w:w="1474" w:type="dxa"/>
            <w:vAlign w:val="center"/>
          </w:tcPr>
          <w:p>
            <w:pPr>
              <w:pStyle w:val="15"/>
            </w:pPr>
            <w:r>
              <w:t>1614.57</w:t>
            </w:r>
          </w:p>
        </w:tc>
        <w:tc>
          <w:tcPr>
            <w:tcW w:w="1474" w:type="dxa"/>
            <w:vAlign w:val="center"/>
          </w:tcPr>
          <w:p>
            <w:pPr>
              <w:pStyle w:val="15"/>
            </w:pPr>
            <w:r>
              <w:t>1614.57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1614.57</w:t>
            </w:r>
          </w:p>
        </w:tc>
        <w:tc>
          <w:tcPr>
            <w:tcW w:w="3402" w:type="dxa"/>
            <w:vAlign w:val="center"/>
          </w:tcPr>
          <w:p>
            <w:pPr>
              <w:pStyle w:val="14"/>
            </w:pPr>
            <w:r>
              <w:t>支出总计</w:t>
            </w:r>
          </w:p>
        </w:tc>
        <w:tc>
          <w:tcPr>
            <w:tcW w:w="1474" w:type="dxa"/>
            <w:vAlign w:val="center"/>
          </w:tcPr>
          <w:p>
            <w:pPr>
              <w:pStyle w:val="15"/>
            </w:pPr>
            <w:r>
              <w:t>1614.57</w:t>
            </w:r>
          </w:p>
        </w:tc>
        <w:tc>
          <w:tcPr>
            <w:tcW w:w="1474" w:type="dxa"/>
            <w:vAlign w:val="center"/>
          </w:tcPr>
          <w:p>
            <w:pPr>
              <w:pStyle w:val="15"/>
            </w:pPr>
            <w:r>
              <w:t>1614.57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1614.57</w:t>
            </w:r>
          </w:p>
        </w:tc>
        <w:tc>
          <w:tcPr>
            <w:tcW w:w="2551" w:type="dxa"/>
            <w:vAlign w:val="center"/>
          </w:tcPr>
          <w:p>
            <w:pPr>
              <w:pStyle w:val="15"/>
            </w:pPr>
            <w:r>
              <w:t>1544.37</w:t>
            </w:r>
          </w:p>
        </w:tc>
        <w:tc>
          <w:tcPr>
            <w:tcW w:w="2551" w:type="dxa"/>
            <w:vAlign w:val="center"/>
          </w:tcPr>
          <w:p>
            <w:pPr>
              <w:pStyle w:val="15"/>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1354.56</w:t>
            </w:r>
          </w:p>
        </w:tc>
        <w:tc>
          <w:tcPr>
            <w:tcW w:w="2551" w:type="dxa"/>
            <w:vAlign w:val="center"/>
          </w:tcPr>
          <w:p>
            <w:pPr>
              <w:pStyle w:val="11"/>
            </w:pPr>
            <w:r>
              <w:t>1284.36</w:t>
            </w:r>
          </w:p>
        </w:tc>
        <w:tc>
          <w:tcPr>
            <w:tcW w:w="2551" w:type="dxa"/>
            <w:vAlign w:val="center"/>
          </w:tcPr>
          <w:p>
            <w:pPr>
              <w:pStyle w:val="11"/>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1354.56</w:t>
            </w:r>
          </w:p>
        </w:tc>
        <w:tc>
          <w:tcPr>
            <w:tcW w:w="2551" w:type="dxa"/>
            <w:vAlign w:val="center"/>
          </w:tcPr>
          <w:p>
            <w:pPr>
              <w:pStyle w:val="11"/>
            </w:pPr>
            <w:r>
              <w:t>1284.36</w:t>
            </w:r>
          </w:p>
        </w:tc>
        <w:tc>
          <w:tcPr>
            <w:tcW w:w="2551" w:type="dxa"/>
            <w:vAlign w:val="center"/>
          </w:tcPr>
          <w:p>
            <w:pPr>
              <w:pStyle w:val="11"/>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1253.39</w:t>
            </w:r>
          </w:p>
        </w:tc>
        <w:tc>
          <w:tcPr>
            <w:tcW w:w="2551" w:type="dxa"/>
            <w:vAlign w:val="center"/>
          </w:tcPr>
          <w:p>
            <w:pPr>
              <w:pStyle w:val="11"/>
            </w:pPr>
            <w:r>
              <w:t>1253.39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70.20</w:t>
            </w:r>
          </w:p>
        </w:tc>
        <w:tc>
          <w:tcPr>
            <w:tcW w:w="2551" w:type="dxa"/>
            <w:vAlign w:val="center"/>
          </w:tcPr>
          <w:p>
            <w:pPr>
              <w:pStyle w:val="11"/>
            </w:pPr>
          </w:p>
        </w:tc>
        <w:tc>
          <w:tcPr>
            <w:tcW w:w="2551" w:type="dxa"/>
            <w:vAlign w:val="center"/>
          </w:tcPr>
          <w:p>
            <w:pPr>
              <w:pStyle w:val="11"/>
            </w:pPr>
            <w:r>
              <w:t>70.20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2011150</w:t>
            </w:r>
          </w:p>
        </w:tc>
        <w:tc>
          <w:tcPr>
            <w:tcW w:w="4535" w:type="dxa"/>
            <w:vAlign w:val="center"/>
          </w:tcPr>
          <w:p>
            <w:pPr>
              <w:pStyle w:val="12"/>
            </w:pPr>
            <w:r>
              <w:t>事业运行</w:t>
            </w:r>
          </w:p>
        </w:tc>
        <w:tc>
          <w:tcPr>
            <w:tcW w:w="2551" w:type="dxa"/>
            <w:vAlign w:val="center"/>
          </w:tcPr>
          <w:p>
            <w:pPr>
              <w:pStyle w:val="11"/>
            </w:pPr>
            <w:r>
              <w:t>30.98</w:t>
            </w:r>
          </w:p>
        </w:tc>
        <w:tc>
          <w:tcPr>
            <w:tcW w:w="2551" w:type="dxa"/>
            <w:vAlign w:val="center"/>
          </w:tcPr>
          <w:p>
            <w:pPr>
              <w:pStyle w:val="11"/>
            </w:pPr>
            <w:r>
              <w:t>30.98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132.71</w:t>
            </w:r>
          </w:p>
        </w:tc>
        <w:tc>
          <w:tcPr>
            <w:tcW w:w="2551" w:type="dxa"/>
            <w:vAlign w:val="center"/>
          </w:tcPr>
          <w:p>
            <w:pPr>
              <w:pStyle w:val="11"/>
            </w:pPr>
            <w:r>
              <w:t>132.71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132.71</w:t>
            </w:r>
          </w:p>
        </w:tc>
        <w:tc>
          <w:tcPr>
            <w:tcW w:w="2551" w:type="dxa"/>
            <w:vAlign w:val="center"/>
          </w:tcPr>
          <w:p>
            <w:pPr>
              <w:pStyle w:val="11"/>
            </w:pPr>
            <w:r>
              <w:t>132.71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132.71</w:t>
            </w:r>
          </w:p>
        </w:tc>
        <w:tc>
          <w:tcPr>
            <w:tcW w:w="2551" w:type="dxa"/>
            <w:vAlign w:val="center"/>
          </w:tcPr>
          <w:p>
            <w:pPr>
              <w:pStyle w:val="11"/>
            </w:pPr>
            <w:r>
              <w:t>132.71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60.94</w:t>
            </w:r>
          </w:p>
        </w:tc>
        <w:tc>
          <w:tcPr>
            <w:tcW w:w="2551" w:type="dxa"/>
            <w:vAlign w:val="center"/>
          </w:tcPr>
          <w:p>
            <w:pPr>
              <w:pStyle w:val="11"/>
            </w:pPr>
            <w:r>
              <w:t>60.94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60.94</w:t>
            </w:r>
          </w:p>
        </w:tc>
        <w:tc>
          <w:tcPr>
            <w:tcW w:w="2551" w:type="dxa"/>
            <w:vAlign w:val="center"/>
          </w:tcPr>
          <w:p>
            <w:pPr>
              <w:pStyle w:val="11"/>
            </w:pPr>
            <w:r>
              <w:t>60.94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58.11</w:t>
            </w:r>
          </w:p>
        </w:tc>
        <w:tc>
          <w:tcPr>
            <w:tcW w:w="2551" w:type="dxa"/>
            <w:vAlign w:val="center"/>
          </w:tcPr>
          <w:p>
            <w:pPr>
              <w:pStyle w:val="11"/>
            </w:pPr>
            <w:r>
              <w:t>58.11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2.84</w:t>
            </w:r>
          </w:p>
        </w:tc>
        <w:tc>
          <w:tcPr>
            <w:tcW w:w="2551" w:type="dxa"/>
            <w:vAlign w:val="center"/>
          </w:tcPr>
          <w:p>
            <w:pPr>
              <w:pStyle w:val="11"/>
            </w:pPr>
            <w:r>
              <w:t>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66.35</w:t>
            </w:r>
          </w:p>
        </w:tc>
        <w:tc>
          <w:tcPr>
            <w:tcW w:w="2551" w:type="dxa"/>
            <w:vAlign w:val="center"/>
          </w:tcPr>
          <w:p>
            <w:pPr>
              <w:pStyle w:val="11"/>
            </w:pPr>
            <w:r>
              <w:t>66.35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66.35</w:t>
            </w:r>
          </w:p>
        </w:tc>
        <w:tc>
          <w:tcPr>
            <w:tcW w:w="2551" w:type="dxa"/>
            <w:vAlign w:val="center"/>
          </w:tcPr>
          <w:p>
            <w:pPr>
              <w:pStyle w:val="11"/>
            </w:pPr>
            <w:r>
              <w:t>66.35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66.35</w:t>
            </w:r>
          </w:p>
        </w:tc>
        <w:tc>
          <w:tcPr>
            <w:tcW w:w="2551" w:type="dxa"/>
            <w:vAlign w:val="center"/>
          </w:tcPr>
          <w:p>
            <w:pPr>
              <w:pStyle w:val="11"/>
            </w:pPr>
            <w:r>
              <w:t>66.35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1544.37</w:t>
            </w:r>
          </w:p>
        </w:tc>
        <w:tc>
          <w:tcPr>
            <w:tcW w:w="2551" w:type="dxa"/>
            <w:vAlign w:val="center"/>
          </w:tcPr>
          <w:p>
            <w:pPr>
              <w:pStyle w:val="15"/>
            </w:pPr>
            <w:r>
              <w:t>1179.80</w:t>
            </w:r>
          </w:p>
        </w:tc>
        <w:tc>
          <w:tcPr>
            <w:tcW w:w="2551" w:type="dxa"/>
            <w:vAlign w:val="center"/>
          </w:tcPr>
          <w:p>
            <w:pPr>
              <w:pStyle w:val="15"/>
            </w:pPr>
            <w:r>
              <w:t>364.58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1152.06</w:t>
            </w:r>
          </w:p>
        </w:tc>
        <w:tc>
          <w:tcPr>
            <w:tcW w:w="2551" w:type="dxa"/>
            <w:vAlign w:val="center"/>
          </w:tcPr>
          <w:p>
            <w:pPr>
              <w:pStyle w:val="11"/>
            </w:pPr>
            <w:r>
              <w:t>1152.06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529.53</w:t>
            </w:r>
          </w:p>
        </w:tc>
        <w:tc>
          <w:tcPr>
            <w:tcW w:w="2551" w:type="dxa"/>
            <w:vAlign w:val="center"/>
          </w:tcPr>
          <w:p>
            <w:pPr>
              <w:pStyle w:val="11"/>
            </w:pPr>
            <w:r>
              <w:t>529.53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235.96</w:t>
            </w:r>
          </w:p>
        </w:tc>
        <w:tc>
          <w:tcPr>
            <w:tcW w:w="2551" w:type="dxa"/>
            <w:vAlign w:val="center"/>
          </w:tcPr>
          <w:p>
            <w:pPr>
              <w:pStyle w:val="11"/>
            </w:pPr>
            <w:r>
              <w:t>235.96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112.65</w:t>
            </w:r>
          </w:p>
        </w:tc>
        <w:tc>
          <w:tcPr>
            <w:tcW w:w="2551" w:type="dxa"/>
            <w:vAlign w:val="center"/>
          </w:tcPr>
          <w:p>
            <w:pPr>
              <w:pStyle w:val="11"/>
            </w:pPr>
            <w:r>
              <w:t>112.65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9.71</w:t>
            </w:r>
          </w:p>
        </w:tc>
        <w:tc>
          <w:tcPr>
            <w:tcW w:w="2551" w:type="dxa"/>
            <w:vAlign w:val="center"/>
          </w:tcPr>
          <w:p>
            <w:pPr>
              <w:pStyle w:val="11"/>
            </w:pPr>
            <w:r>
              <w:t>9.71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132.71</w:t>
            </w:r>
          </w:p>
        </w:tc>
        <w:tc>
          <w:tcPr>
            <w:tcW w:w="2551" w:type="dxa"/>
            <w:vAlign w:val="center"/>
          </w:tcPr>
          <w:p>
            <w:pPr>
              <w:pStyle w:val="11"/>
            </w:pPr>
            <w:r>
              <w:t>132.71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60.94</w:t>
            </w:r>
          </w:p>
        </w:tc>
        <w:tc>
          <w:tcPr>
            <w:tcW w:w="2551" w:type="dxa"/>
            <w:vAlign w:val="center"/>
          </w:tcPr>
          <w:p>
            <w:pPr>
              <w:pStyle w:val="11"/>
            </w:pPr>
            <w:r>
              <w:t>60.94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4.20</w:t>
            </w:r>
          </w:p>
        </w:tc>
        <w:tc>
          <w:tcPr>
            <w:tcW w:w="2551" w:type="dxa"/>
            <w:vAlign w:val="center"/>
          </w:tcPr>
          <w:p>
            <w:pPr>
              <w:pStyle w:val="11"/>
            </w:pPr>
            <w:r>
              <w:t>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66.35</w:t>
            </w:r>
          </w:p>
        </w:tc>
        <w:tc>
          <w:tcPr>
            <w:tcW w:w="2551" w:type="dxa"/>
            <w:vAlign w:val="center"/>
          </w:tcPr>
          <w:p>
            <w:pPr>
              <w:pStyle w:val="11"/>
            </w:pPr>
            <w:r>
              <w:t>66.35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335.64</w:t>
            </w:r>
          </w:p>
        </w:tc>
        <w:tc>
          <w:tcPr>
            <w:tcW w:w="2551" w:type="dxa"/>
            <w:vAlign w:val="center"/>
          </w:tcPr>
          <w:p>
            <w:pPr>
              <w:pStyle w:val="11"/>
            </w:pPr>
          </w:p>
        </w:tc>
        <w:tc>
          <w:tcPr>
            <w:tcW w:w="2551" w:type="dxa"/>
            <w:vAlign w:val="center"/>
          </w:tcPr>
          <w:p>
            <w:pPr>
              <w:pStyle w:val="11"/>
            </w:pPr>
            <w:r>
              <w:t>335.64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75.00</w:t>
            </w:r>
          </w:p>
        </w:tc>
        <w:tc>
          <w:tcPr>
            <w:tcW w:w="2551" w:type="dxa"/>
            <w:vAlign w:val="center"/>
          </w:tcPr>
          <w:p>
            <w:pPr>
              <w:pStyle w:val="11"/>
            </w:pPr>
          </w:p>
        </w:tc>
        <w:tc>
          <w:tcPr>
            <w:tcW w:w="2551" w:type="dxa"/>
            <w:vAlign w:val="center"/>
          </w:tcPr>
          <w:p>
            <w:pPr>
              <w:pStyle w:val="11"/>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14.50</w:t>
            </w:r>
          </w:p>
        </w:tc>
        <w:tc>
          <w:tcPr>
            <w:tcW w:w="2551" w:type="dxa"/>
            <w:vAlign w:val="center"/>
          </w:tcPr>
          <w:p>
            <w:pPr>
              <w:pStyle w:val="11"/>
            </w:pPr>
          </w:p>
        </w:tc>
        <w:tc>
          <w:tcPr>
            <w:tcW w:w="2551" w:type="dxa"/>
            <w:vAlign w:val="center"/>
          </w:tcPr>
          <w:p>
            <w:pPr>
              <w:pStyle w:val="11"/>
            </w:pPr>
            <w: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7.35</w:t>
            </w:r>
          </w:p>
        </w:tc>
        <w:tc>
          <w:tcPr>
            <w:tcW w:w="2551" w:type="dxa"/>
            <w:vAlign w:val="center"/>
          </w:tcPr>
          <w:p>
            <w:pPr>
              <w:pStyle w:val="11"/>
            </w:pPr>
          </w:p>
        </w:tc>
        <w:tc>
          <w:tcPr>
            <w:tcW w:w="2551" w:type="dxa"/>
            <w:vAlign w:val="center"/>
          </w:tcPr>
          <w:p>
            <w:pPr>
              <w:pStyle w:val="11"/>
            </w:pPr>
            <w:r>
              <w:t>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13.96</w:t>
            </w:r>
          </w:p>
        </w:tc>
        <w:tc>
          <w:tcPr>
            <w:tcW w:w="2551" w:type="dxa"/>
            <w:vAlign w:val="center"/>
          </w:tcPr>
          <w:p>
            <w:pPr>
              <w:pStyle w:val="11"/>
            </w:pPr>
          </w:p>
        </w:tc>
        <w:tc>
          <w:tcPr>
            <w:tcW w:w="2551" w:type="dxa"/>
            <w:vAlign w:val="center"/>
          </w:tcPr>
          <w:p>
            <w:pPr>
              <w:pStyle w:val="11"/>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70.08</w:t>
            </w:r>
          </w:p>
        </w:tc>
        <w:tc>
          <w:tcPr>
            <w:tcW w:w="2551" w:type="dxa"/>
            <w:vAlign w:val="center"/>
          </w:tcPr>
          <w:p>
            <w:pPr>
              <w:pStyle w:val="11"/>
            </w:pPr>
          </w:p>
        </w:tc>
        <w:tc>
          <w:tcPr>
            <w:tcW w:w="2551" w:type="dxa"/>
            <w:vAlign w:val="center"/>
          </w:tcPr>
          <w:p>
            <w:pPr>
              <w:pStyle w:val="11"/>
            </w:pPr>
            <w:r>
              <w:t>70.08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105.25</w:t>
            </w:r>
          </w:p>
        </w:tc>
        <w:tc>
          <w:tcPr>
            <w:tcW w:w="2551" w:type="dxa"/>
            <w:vAlign w:val="center"/>
          </w:tcPr>
          <w:p>
            <w:pPr>
              <w:pStyle w:val="11"/>
            </w:pPr>
          </w:p>
        </w:tc>
        <w:tc>
          <w:tcPr>
            <w:tcW w:w="2551" w:type="dxa"/>
            <w:vAlign w:val="center"/>
          </w:tcPr>
          <w:p>
            <w:pPr>
              <w:pStyle w:val="11"/>
            </w:pPr>
            <w:r>
              <w:t>105.25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27.74</w:t>
            </w:r>
          </w:p>
        </w:tc>
        <w:tc>
          <w:tcPr>
            <w:tcW w:w="2551" w:type="dxa"/>
            <w:vAlign w:val="center"/>
          </w:tcPr>
          <w:p>
            <w:pPr>
              <w:pStyle w:val="11"/>
            </w:pPr>
            <w:r>
              <w:t>27.74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26.74</w:t>
            </w:r>
          </w:p>
        </w:tc>
        <w:tc>
          <w:tcPr>
            <w:tcW w:w="2551" w:type="dxa"/>
            <w:vAlign w:val="center"/>
          </w:tcPr>
          <w:p>
            <w:pPr>
              <w:pStyle w:val="11"/>
            </w:pPr>
            <w:r>
              <w:t>26.74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28.94</w:t>
            </w:r>
          </w:p>
        </w:tc>
        <w:tc>
          <w:tcPr>
            <w:tcW w:w="2551" w:type="dxa"/>
            <w:vAlign w:val="center"/>
          </w:tcPr>
          <w:p>
            <w:pPr>
              <w:pStyle w:val="11"/>
            </w:pPr>
          </w:p>
        </w:tc>
        <w:tc>
          <w:tcPr>
            <w:tcW w:w="2551" w:type="dxa"/>
            <w:vAlign w:val="center"/>
          </w:tcPr>
          <w:p>
            <w:pPr>
              <w:pStyle w:val="11"/>
            </w:pPr>
            <w:r>
              <w:t>28.94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28.94</w:t>
            </w:r>
          </w:p>
        </w:tc>
        <w:tc>
          <w:tcPr>
            <w:tcW w:w="2551" w:type="dxa"/>
            <w:vAlign w:val="center"/>
          </w:tcPr>
          <w:p>
            <w:pPr>
              <w:pStyle w:val="11"/>
            </w:pPr>
          </w:p>
        </w:tc>
        <w:tc>
          <w:tcPr>
            <w:tcW w:w="2551" w:type="dxa"/>
            <w:vAlign w:val="center"/>
          </w:tcPr>
          <w:p>
            <w:pPr>
              <w:pStyle w:val="11"/>
            </w:pPr>
            <w:r>
              <w:t>28.94</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28.46</w:t>
            </w:r>
          </w:p>
        </w:tc>
        <w:tc>
          <w:tcPr>
            <w:tcW w:w="2381" w:type="dxa"/>
            <w:vAlign w:val="center"/>
          </w:tcPr>
          <w:p>
            <w:pPr>
              <w:pStyle w:val="15"/>
            </w:pPr>
            <w:r>
              <w:t>28.46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28.46</w:t>
            </w:r>
          </w:p>
        </w:tc>
        <w:tc>
          <w:tcPr>
            <w:tcW w:w="2381" w:type="dxa"/>
            <w:vAlign w:val="center"/>
          </w:tcPr>
          <w:p>
            <w:pPr>
              <w:pStyle w:val="11"/>
            </w:pPr>
            <w:r>
              <w:t>28.46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13.96</w:t>
            </w:r>
          </w:p>
        </w:tc>
        <w:tc>
          <w:tcPr>
            <w:tcW w:w="2381" w:type="dxa"/>
            <w:vAlign w:val="center"/>
          </w:tcPr>
          <w:p>
            <w:pPr>
              <w:pStyle w:val="11"/>
            </w:pPr>
            <w:r>
              <w:t>13.96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13.96</w:t>
            </w:r>
          </w:p>
        </w:tc>
        <w:tc>
          <w:tcPr>
            <w:tcW w:w="2381" w:type="dxa"/>
            <w:vAlign w:val="center"/>
          </w:tcPr>
          <w:p>
            <w:pPr>
              <w:pStyle w:val="11"/>
            </w:pPr>
            <w:r>
              <w:t>13.96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14.50</w:t>
            </w:r>
          </w:p>
        </w:tc>
        <w:tc>
          <w:tcPr>
            <w:tcW w:w="2381" w:type="dxa"/>
            <w:vAlign w:val="center"/>
          </w:tcPr>
          <w:p>
            <w:pPr>
              <w:pStyle w:val="11"/>
            </w:pPr>
            <w:r>
              <w:t>14.50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中国共产党昌黎县纪律检查委员会本级2026年单位预算信息公开情况说明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按照《中华人民共和国预算法》、《地方预决算公开操作规程》和《关于进一步推进预算公开工作的实施意见》规定，现将中国共产党昌黎县纪律检查委员会本级2026年单位预算公开如下：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Times New Roman" w:hAnsi="Times New Roman" w:eastAsia="方正仿宋_GBK" w:cs="Times New Roman"/>
          <w:color w:val="000000"/>
          <w:sz w:val="28"/>
          <w:lang w:val="en-US" w:eastAsia="zh-CN"/>
        </w:rPr>
        <w:t>（此内容涉密，不予公开）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640"/>
        <w:jc w:val="left"/>
        <w:outlineLvl w:val="9"/>
        <w:rPr>
          <w:rFonts w:ascii="黑体" w:hAnsi="黑体" w:eastAsia="黑体" w:cs="黑体"/>
          <w:color w:val="000000"/>
          <w:sz w:val="32"/>
        </w:rPr>
      </w:pPr>
      <w:r>
        <w:rPr>
          <w:rFonts w:hint="eastAsia" w:ascii="Times New Roman" w:hAnsi="Times New Roman" w:eastAsia="方正仿宋_GBK" w:cs="Times New Roman"/>
          <w:color w:val="000000"/>
          <w:sz w:val="28"/>
          <w:lang w:val="en-US" w:eastAsia="zh-CN"/>
        </w:rPr>
        <w:t>（此内容涉密，不予公开）</w:t>
      </w: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w:t>
      </w:r>
      <w:r>
        <w:rPr>
          <w:rFonts w:hint="eastAsia"/>
          <w:lang w:val="en-US" w:eastAsia="zh-CN"/>
        </w:rPr>
        <w:t>.</w:t>
      </w:r>
      <w:r>
        <w:t>收入说明</w:t>
      </w:r>
    </w:p>
    <w:p>
      <w:pPr>
        <w:pStyle w:val="18"/>
      </w:pPr>
      <w:r>
        <w:t>反映本单位当年全部收入。2026年预算收入1614.57万元，其中：一般公共预算收入1614.57万元，基金预算收入0.00万元，国有资本经营预算收入0.00万元，财政专户核拨收入0.00万元，单位资金收入0.00万元，上年结转结余0.00万元。</w:t>
      </w:r>
    </w:p>
    <w:p>
      <w:pPr>
        <w:pStyle w:val="18"/>
      </w:pPr>
      <w:r>
        <w:t>2</w:t>
      </w:r>
      <w:r>
        <w:rPr>
          <w:rFonts w:hint="eastAsia"/>
          <w:lang w:val="en-US" w:eastAsia="zh-CN"/>
        </w:rPr>
        <w:t>.</w:t>
      </w:r>
      <w:r>
        <w:t>支出说明</w:t>
      </w:r>
    </w:p>
    <w:p>
      <w:pPr>
        <w:pStyle w:val="18"/>
      </w:pPr>
      <w:r>
        <w:t>收支预算总表支出栏、基本支出表、项目支出表按经济分类和支出功能分类科目编制，反映中国共产党昌黎县纪律检查委员会本级年度单位预算中支出预算的总体情况。2026年支出预算1614.57万元，其中基本支出1544.37万元，包括人员经费1179.80万元和日常公用经费364.58万元；项目支出70.20万元，主要为2026年廉培中心运转保障资金，共计30万元，该项目支出主要用于廉培中心运转，保障纪检监察机关正常开展办案工作；2026年中央政法纪检监察转移支付项目资金40.2万元，保障案件查办工作正常开展；预计下年使用的单位资金结余0.00万元。委托业务费共计安排0.00万元，主要用于因技术原因确需对外委托的辅助性工作和确有必要对外委托开展咨询、评审、规划等工作。</w:t>
      </w:r>
    </w:p>
    <w:p>
      <w:pPr>
        <w:pStyle w:val="18"/>
      </w:pPr>
      <w:r>
        <w:t>3</w:t>
      </w:r>
      <w:r>
        <w:rPr>
          <w:rFonts w:hint="eastAsia"/>
          <w:lang w:val="en-US" w:eastAsia="zh-CN"/>
        </w:rPr>
        <w:t>.</w:t>
      </w:r>
      <w:r>
        <w:t>比上年增减情况</w:t>
      </w:r>
    </w:p>
    <w:p>
      <w:pPr>
        <w:pStyle w:val="18"/>
      </w:pPr>
      <w:r>
        <w:t>2026年预算收支安排1614.57万元，较2025年预算增加76.01万元，其中：基本支出增加35.81万元，主要为工资福利支出增加，人员经费增加。项目支出增加40.20万元，主要为上级财政提前下达2026年中央政法纪检监察转移支付项目资金40.2万元，保障案件查办工作正常开展。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2026年，我单位机关运行经费共计安排364.58万元，主要用于日常维修、办公用房水电费、办公用房取暖费、办公用房物业管理费等日常运行支出。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28.46万元，其中因公出国（境）费0.00万元；公务用车购置及运维费13.96万元（其中：公务用车购置费为0.00万元，公务用车运维费13.96万元)；公务接待费14.50万元。与2025年相比减少0.94万元，增减变化的主要原因是为落实习惯过紧日子要求，压减公务用车运行费0.44万元，压减公务接待费0.5万元。</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2026年廉政教育培训基地运转保障资金绩效目标表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13032226P00212210189F</w:t>
            </w:r>
          </w:p>
        </w:tc>
        <w:tc>
          <w:tcPr>
            <w:tcW w:w="2835" w:type="dxa"/>
            <w:vAlign w:val="center"/>
          </w:tcPr>
          <w:p>
            <w:pPr>
              <w:pStyle w:val="10"/>
            </w:pPr>
            <w:r>
              <w:t>项目名称</w:t>
            </w:r>
          </w:p>
        </w:tc>
        <w:tc>
          <w:tcPr>
            <w:tcW w:w="6095" w:type="dxa"/>
            <w:gridSpan w:val="3"/>
            <w:vAlign w:val="center"/>
          </w:tcPr>
          <w:p>
            <w:pPr>
              <w:pStyle w:val="12"/>
            </w:pPr>
            <w:r>
              <w:t>2026年廉政教育培训基地运转保障资金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用于县级廉政教育基地日常运转费用，保障廉政建设和反腐败工作的正常开展。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1.用于2026年县级廉政教育基地日常运转费用，保障廉政建设和反腐败工作的正常开展。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谈话室的使用天数</w:t>
            </w:r>
          </w:p>
        </w:tc>
        <w:tc>
          <w:tcPr>
            <w:tcW w:w="5386" w:type="dxa"/>
            <w:vAlign w:val="center"/>
          </w:tcPr>
          <w:p>
            <w:pPr>
              <w:pStyle w:val="12"/>
            </w:pPr>
            <w:r>
              <w:t>全天使用谈话室的使用天数</w:t>
            </w:r>
          </w:p>
        </w:tc>
        <w:tc>
          <w:tcPr>
            <w:tcW w:w="2268" w:type="dxa"/>
            <w:vAlign w:val="center"/>
          </w:tcPr>
          <w:p>
            <w:pPr>
              <w:pStyle w:val="12"/>
            </w:pPr>
            <w:r>
              <w:t>≥180天</w:t>
            </w:r>
          </w:p>
        </w:tc>
        <w:tc>
          <w:tcPr>
            <w:tcW w:w="1276" w:type="dxa"/>
            <w:vAlign w:val="center"/>
          </w:tcPr>
          <w:p>
            <w:pPr>
              <w:pStyle w:val="12"/>
            </w:pPr>
            <w:r>
              <w:t>劳务合同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廉政教育基地日常运转率</w:t>
            </w:r>
          </w:p>
        </w:tc>
        <w:tc>
          <w:tcPr>
            <w:tcW w:w="5386" w:type="dxa"/>
            <w:vAlign w:val="center"/>
          </w:tcPr>
          <w:p>
            <w:pPr>
              <w:pStyle w:val="12"/>
            </w:pPr>
            <w:r>
              <w:t>基地日常运转廉政建设和反腐败工作开展情况</w:t>
            </w:r>
          </w:p>
        </w:tc>
        <w:tc>
          <w:tcPr>
            <w:tcW w:w="2268" w:type="dxa"/>
            <w:vAlign w:val="center"/>
          </w:tcPr>
          <w:p>
            <w:pPr>
              <w:pStyle w:val="12"/>
            </w:pPr>
            <w:r>
              <w:t>≥95%</w:t>
            </w:r>
          </w:p>
        </w:tc>
        <w:tc>
          <w:tcPr>
            <w:tcW w:w="1276" w:type="dxa"/>
            <w:vAlign w:val="center"/>
          </w:tcPr>
          <w:p>
            <w:pPr>
              <w:pStyle w:val="12"/>
            </w:pPr>
            <w:r>
              <w:t>秦纪字【2018】64文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项目完成工作任务数占项目计划</w:t>
            </w:r>
          </w:p>
        </w:tc>
        <w:tc>
          <w:tcPr>
            <w:tcW w:w="2268" w:type="dxa"/>
            <w:vAlign w:val="center"/>
          </w:tcPr>
          <w:p>
            <w:pPr>
              <w:pStyle w:val="12"/>
            </w:pPr>
            <w:r>
              <w:t>≥90%</w:t>
            </w:r>
          </w:p>
        </w:tc>
        <w:tc>
          <w:tcPr>
            <w:tcW w:w="1276" w:type="dxa"/>
            <w:vAlign w:val="center"/>
          </w:tcPr>
          <w:p>
            <w:pPr>
              <w:pStyle w:val="12"/>
            </w:pPr>
            <w:r>
              <w:t>秦纪字【2018】64文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廉培中心的运行费用成本</w:t>
            </w:r>
          </w:p>
        </w:tc>
        <w:tc>
          <w:tcPr>
            <w:tcW w:w="2268" w:type="dxa"/>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收缴违纪款</w:t>
            </w:r>
          </w:p>
        </w:tc>
        <w:tc>
          <w:tcPr>
            <w:tcW w:w="5386" w:type="dxa"/>
            <w:vAlign w:val="center"/>
          </w:tcPr>
          <w:p>
            <w:pPr>
              <w:pStyle w:val="12"/>
            </w:pPr>
            <w:r>
              <w:t>收缴违纪款的金额</w:t>
            </w:r>
          </w:p>
        </w:tc>
        <w:tc>
          <w:tcPr>
            <w:tcW w:w="2268" w:type="dxa"/>
            <w:vAlign w:val="center"/>
          </w:tcPr>
          <w:p>
            <w:pPr>
              <w:pStyle w:val="12"/>
            </w:pPr>
            <w:r>
              <w:t>≥100万元</w:t>
            </w:r>
          </w:p>
        </w:tc>
        <w:tc>
          <w:tcPr>
            <w:tcW w:w="1276" w:type="dxa"/>
            <w:vAlign w:val="center"/>
          </w:tcPr>
          <w:p>
            <w:pPr>
              <w:pStyle w:val="12"/>
            </w:pPr>
            <w:r>
              <w:t>往年标准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对区域内社会发展的间接价值</w:t>
            </w:r>
          </w:p>
        </w:tc>
        <w:tc>
          <w:tcPr>
            <w:tcW w:w="5386" w:type="dxa"/>
            <w:vAlign w:val="center"/>
          </w:tcPr>
          <w:p>
            <w:pPr>
              <w:pStyle w:val="12"/>
            </w:pPr>
            <w:r>
              <w:t>通过对违纪人员的调查和处置，案件办结件数</w:t>
            </w:r>
          </w:p>
        </w:tc>
        <w:tc>
          <w:tcPr>
            <w:tcW w:w="2268" w:type="dxa"/>
            <w:vAlign w:val="center"/>
          </w:tcPr>
          <w:p>
            <w:pPr>
              <w:pStyle w:val="12"/>
            </w:pPr>
            <w:r>
              <w:t>≥100件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节能办公</w:t>
            </w:r>
          </w:p>
        </w:tc>
        <w:tc>
          <w:tcPr>
            <w:tcW w:w="5386" w:type="dxa"/>
            <w:vAlign w:val="center"/>
          </w:tcPr>
          <w:p>
            <w:pPr>
              <w:pStyle w:val="12"/>
            </w:pPr>
            <w:r>
              <w:t>办公期间节约水电等能源情况</w:t>
            </w:r>
          </w:p>
        </w:tc>
        <w:tc>
          <w:tcPr>
            <w:tcW w:w="2268" w:type="dxa"/>
            <w:vAlign w:val="center"/>
          </w:tcPr>
          <w:p>
            <w:pPr>
              <w:pStyle w:val="12"/>
            </w:pPr>
            <w:r>
              <w:t>较上年节约</w:t>
            </w:r>
          </w:p>
        </w:tc>
        <w:tc>
          <w:tcPr>
            <w:tcW w:w="1276" w:type="dxa"/>
            <w:vAlign w:val="center"/>
          </w:tcPr>
          <w:p>
            <w:pPr>
              <w:pStyle w:val="12"/>
            </w:pPr>
            <w:r>
              <w:t>往年标准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项目持续发挥作用的期限</w:t>
            </w:r>
          </w:p>
        </w:tc>
        <w:tc>
          <w:tcPr>
            <w:tcW w:w="5386" w:type="dxa"/>
            <w:vAlign w:val="center"/>
          </w:tcPr>
          <w:p>
            <w:pPr>
              <w:pStyle w:val="12"/>
            </w:pPr>
            <w:r>
              <w:t>对办案安全发挥持续作用时间</w:t>
            </w:r>
          </w:p>
        </w:tc>
        <w:tc>
          <w:tcPr>
            <w:tcW w:w="2268" w:type="dxa"/>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使用人员的满意率</w:t>
            </w:r>
          </w:p>
        </w:tc>
        <w:tc>
          <w:tcPr>
            <w:tcW w:w="5386" w:type="dxa"/>
            <w:vAlign w:val="center"/>
          </w:tcPr>
          <w:p>
            <w:pPr>
              <w:pStyle w:val="12"/>
            </w:pPr>
            <w:r>
              <w:t>调查使用人员对基地运行满意的情况</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2026年中央政法纪检监察转移支付专项绩效目标表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13032226P00214410032B</w:t>
            </w:r>
          </w:p>
        </w:tc>
        <w:tc>
          <w:tcPr>
            <w:tcW w:w="2835" w:type="dxa"/>
            <w:vAlign w:val="center"/>
          </w:tcPr>
          <w:p>
            <w:pPr>
              <w:pStyle w:val="10"/>
            </w:pPr>
            <w:r>
              <w:t>项目名称</w:t>
            </w:r>
          </w:p>
        </w:tc>
        <w:tc>
          <w:tcPr>
            <w:tcW w:w="6095" w:type="dxa"/>
            <w:gridSpan w:val="3"/>
            <w:vAlign w:val="center"/>
          </w:tcPr>
          <w:p>
            <w:pPr>
              <w:pStyle w:val="12"/>
            </w:pPr>
            <w:r>
              <w:t>2026年中央政法纪检监察转移支付专项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40.20</w:t>
            </w:r>
          </w:p>
        </w:tc>
        <w:tc>
          <w:tcPr>
            <w:tcW w:w="2835" w:type="dxa"/>
            <w:vAlign w:val="center"/>
          </w:tcPr>
          <w:p>
            <w:pPr>
              <w:pStyle w:val="10"/>
            </w:pPr>
            <w:r>
              <w:t>其中：财政    资金</w:t>
            </w:r>
          </w:p>
        </w:tc>
        <w:tc>
          <w:tcPr>
            <w:tcW w:w="2551" w:type="dxa"/>
            <w:vAlign w:val="center"/>
          </w:tcPr>
          <w:p>
            <w:pPr>
              <w:pStyle w:val="12"/>
            </w:pPr>
            <w:r>
              <w:t>40.20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保障全县案件查办工作，建设风清气正的良好工作环境。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1.保障全县案件查办工作，建设风清气正的良好工作环境。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规范支出率</w:t>
            </w:r>
          </w:p>
        </w:tc>
        <w:tc>
          <w:tcPr>
            <w:tcW w:w="5386" w:type="dxa"/>
            <w:vAlign w:val="center"/>
          </w:tcPr>
          <w:p>
            <w:pPr>
              <w:pStyle w:val="12"/>
            </w:pPr>
            <w:r>
              <w:t>规范支出占全部支出的比例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结案数量</w:t>
            </w:r>
          </w:p>
        </w:tc>
        <w:tc>
          <w:tcPr>
            <w:tcW w:w="5386" w:type="dxa"/>
            <w:vAlign w:val="center"/>
          </w:tcPr>
          <w:p>
            <w:pPr>
              <w:pStyle w:val="12"/>
            </w:pPr>
            <w:r>
              <w:t>全年立结案件数量</w:t>
            </w:r>
          </w:p>
        </w:tc>
        <w:tc>
          <w:tcPr>
            <w:tcW w:w="2268" w:type="dxa"/>
            <w:vAlign w:val="center"/>
          </w:tcPr>
          <w:p>
            <w:pPr>
              <w:pStyle w:val="12"/>
            </w:pPr>
            <w:r>
              <w:t>≥180件</w:t>
            </w:r>
          </w:p>
        </w:tc>
        <w:tc>
          <w:tcPr>
            <w:tcW w:w="1276" w:type="dxa"/>
            <w:vAlign w:val="center"/>
          </w:tcPr>
          <w:p>
            <w:pPr>
              <w:pStyle w:val="12"/>
            </w:pPr>
            <w:r>
              <w:t>历史惯例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资金使用率</w:t>
            </w:r>
          </w:p>
        </w:tc>
        <w:tc>
          <w:tcPr>
            <w:tcW w:w="5386" w:type="dxa"/>
            <w:vAlign w:val="center"/>
          </w:tcPr>
          <w:p>
            <w:pPr>
              <w:pStyle w:val="12"/>
            </w:pPr>
            <w:r>
              <w:t>用于办案业务的资金占比</w:t>
            </w:r>
          </w:p>
        </w:tc>
        <w:tc>
          <w:tcPr>
            <w:tcW w:w="2268" w:type="dxa"/>
            <w:vAlign w:val="center"/>
          </w:tcPr>
          <w:p>
            <w:pPr>
              <w:pStyle w:val="12"/>
            </w:pPr>
            <w:r>
              <w:t>≥95%</w:t>
            </w:r>
          </w:p>
        </w:tc>
        <w:tc>
          <w:tcPr>
            <w:tcW w:w="1276"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执行率</w:t>
            </w:r>
          </w:p>
        </w:tc>
        <w:tc>
          <w:tcPr>
            <w:tcW w:w="5386" w:type="dxa"/>
            <w:vAlign w:val="center"/>
          </w:tcPr>
          <w:p>
            <w:pPr>
              <w:pStyle w:val="12"/>
            </w:pPr>
            <w:r>
              <w:t>中央转移支付资金的执行率</w:t>
            </w:r>
          </w:p>
        </w:tc>
        <w:tc>
          <w:tcPr>
            <w:tcW w:w="2268" w:type="dxa"/>
            <w:vAlign w:val="center"/>
          </w:tcPr>
          <w:p>
            <w:pPr>
              <w:pStyle w:val="12"/>
            </w:pPr>
            <w:r>
              <w:t>≥99%</w:t>
            </w:r>
          </w:p>
        </w:tc>
        <w:tc>
          <w:tcPr>
            <w:tcW w:w="1276"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增加群众对党的拥护</w:t>
            </w:r>
          </w:p>
        </w:tc>
        <w:tc>
          <w:tcPr>
            <w:tcW w:w="5386" w:type="dxa"/>
            <w:vAlign w:val="center"/>
          </w:tcPr>
          <w:p>
            <w:pPr>
              <w:pStyle w:val="12"/>
            </w:pPr>
            <w:r>
              <w:t>通过查办案件，惩治腐败，增加群众对党的拥护支持</w:t>
            </w:r>
          </w:p>
        </w:tc>
        <w:tc>
          <w:tcPr>
            <w:tcW w:w="2268" w:type="dxa"/>
            <w:vAlign w:val="center"/>
          </w:tcPr>
          <w:p>
            <w:pPr>
              <w:pStyle w:val="12"/>
            </w:pPr>
            <w:r>
              <w:t>长期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收缴违纪款</w:t>
            </w:r>
          </w:p>
        </w:tc>
        <w:tc>
          <w:tcPr>
            <w:tcW w:w="5386" w:type="dxa"/>
            <w:vAlign w:val="center"/>
          </w:tcPr>
          <w:p>
            <w:pPr>
              <w:pStyle w:val="12"/>
            </w:pPr>
            <w:r>
              <w:t>全年收缴并上交违纪款数</w:t>
            </w:r>
          </w:p>
        </w:tc>
        <w:tc>
          <w:tcPr>
            <w:tcW w:w="2268" w:type="dxa"/>
            <w:vAlign w:val="center"/>
          </w:tcPr>
          <w:p>
            <w:pPr>
              <w:pStyle w:val="12"/>
            </w:pPr>
            <w:r>
              <w:t>≥120万元</w:t>
            </w:r>
          </w:p>
        </w:tc>
        <w:tc>
          <w:tcPr>
            <w:tcW w:w="1276" w:type="dxa"/>
            <w:vAlign w:val="center"/>
          </w:tcPr>
          <w:p>
            <w:pPr>
              <w:pStyle w:val="12"/>
            </w:pPr>
            <w:r>
              <w:t>参考往年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通过查办案件工作，减少违纪违法犯罪案件发生，有助于维护社会稳定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群众的满意率</w:t>
            </w:r>
          </w:p>
        </w:tc>
        <w:tc>
          <w:tcPr>
            <w:tcW w:w="5386" w:type="dxa"/>
            <w:vAlign w:val="center"/>
          </w:tcPr>
          <w:p>
            <w:pPr>
              <w:pStyle w:val="12"/>
            </w:pPr>
            <w:r>
              <w:t>在调查中，满意人数占全部调查人数的比例</w:t>
            </w:r>
          </w:p>
        </w:tc>
        <w:tc>
          <w:tcPr>
            <w:tcW w:w="2268" w:type="dxa"/>
            <w:vAlign w:val="center"/>
          </w:tcPr>
          <w:p>
            <w:pPr>
              <w:pStyle w:val="12"/>
            </w:pPr>
            <w:r>
              <w:t>≥90群众对查办案件的满意度</w:t>
            </w:r>
          </w:p>
        </w:tc>
        <w:tc>
          <w:tcPr>
            <w:tcW w:w="1276" w:type="dxa"/>
            <w:vAlign w:val="center"/>
          </w:tcPr>
          <w:p>
            <w:pPr>
              <w:pStyle w:val="12"/>
            </w:pPr>
            <w:r>
              <w:t>历史惯例</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中国共产党昌黎县纪律检查委员会本级上年末固定资产金额为460.75万元（详见下表）。本年度拟购置固定资产总额为28.94万元，已按要求列入政府采购预算，详见政府采购预算表。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222001中国共产党昌黎县纪律检查委员会本级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460.75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100.59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1406</w:t>
            </w:r>
          </w:p>
        </w:tc>
        <w:tc>
          <w:tcPr>
            <w:tcW w:w="2835" w:type="dxa"/>
            <w:vAlign w:val="center"/>
          </w:tcPr>
          <w:p>
            <w:pPr>
              <w:pStyle w:val="11"/>
            </w:pPr>
            <w:r>
              <w:t>335.27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bookmarkStart w:id="1" w:name="_GoBack"/>
      <w:bookmarkEnd w:id="1"/>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7372E"/>
    <w:rsid w:val="45581822"/>
    <w:rsid w:val="7ADE02E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TotalTime>1</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Administrator</cp:lastModifiedBy>
  <dcterms:modified xsi:type="dcterms:W3CDTF">2026-02-05T02:36:07Z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