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247.15</w:t>
            </w:r>
          </w:p>
        </w:tc>
        <w:tc>
          <w:tcPr>
            <w:tcW w:w="4535" w:type="dxa"/>
            <w:vAlign w:val="center"/>
          </w:tcPr>
          <w:p>
            <w:pPr>
              <w:pStyle w:val="13"/>
            </w:pPr>
            <w:r>
              <w:t>一、一般公共服务支出</w:t>
            </w:r>
          </w:p>
        </w:tc>
        <w:tc>
          <w:tcPr>
            <w:tcW w:w="2126" w:type="dxa"/>
            <w:vAlign w:val="center"/>
          </w:tcPr>
          <w:p>
            <w:pPr>
              <w:pStyle w:val="12"/>
            </w:pPr>
            <w:r>
              <w:t>205.46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247.15</w:t>
            </w:r>
          </w:p>
        </w:tc>
        <w:tc>
          <w:tcPr>
            <w:tcW w:w="4535" w:type="dxa"/>
            <w:vAlign w:val="center"/>
          </w:tcPr>
          <w:p>
            <w:pPr>
              <w:pStyle w:val="15"/>
            </w:pPr>
            <w:r>
              <w:t>本年支出合计</w:t>
            </w:r>
          </w:p>
        </w:tc>
        <w:tc>
          <w:tcPr>
            <w:tcW w:w="2126" w:type="dxa"/>
            <w:vAlign w:val="center"/>
          </w:tcPr>
          <w:p>
            <w:pPr>
              <w:pStyle w:val="16"/>
            </w:pPr>
            <w:r>
              <w:t>2285.15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2038.00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2285.15</w:t>
            </w:r>
          </w:p>
        </w:tc>
        <w:tc>
          <w:tcPr>
            <w:tcW w:w="4535" w:type="dxa"/>
            <w:vAlign w:val="center"/>
          </w:tcPr>
          <w:p>
            <w:pPr>
              <w:pStyle w:val="15"/>
            </w:pPr>
            <w:r>
              <w:t>支出总计</w:t>
            </w:r>
          </w:p>
        </w:tc>
        <w:tc>
          <w:tcPr>
            <w:tcW w:w="2126" w:type="dxa"/>
            <w:vAlign w:val="center"/>
          </w:tcPr>
          <w:p>
            <w:pPr>
              <w:pStyle w:val="16"/>
            </w:pPr>
            <w:r>
              <w:t>2285.15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432昌黎县碣石山综合开发中心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2285.15</w:t>
            </w:r>
          </w:p>
        </w:tc>
        <w:tc>
          <w:tcPr>
            <w:tcW w:w="1134" w:type="dxa"/>
            <w:vAlign w:val="center"/>
          </w:tcPr>
          <w:p>
            <w:pPr>
              <w:pStyle w:val="16"/>
            </w:pPr>
            <w:r>
              <w:t>247.15</w:t>
            </w:r>
          </w:p>
        </w:tc>
        <w:tc>
          <w:tcPr>
            <w:tcW w:w="1134" w:type="dxa"/>
            <w:vAlign w:val="center"/>
          </w:tcPr>
          <w:p>
            <w:pPr>
              <w:pStyle w:val="16"/>
            </w:pPr>
            <w:r>
              <w:t>247.15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205.46</w:t>
            </w:r>
          </w:p>
        </w:tc>
        <w:tc>
          <w:tcPr>
            <w:tcW w:w="1134" w:type="dxa"/>
            <w:vAlign w:val="center"/>
          </w:tcPr>
          <w:p>
            <w:pPr>
              <w:pStyle w:val="12"/>
            </w:pPr>
            <w:r>
              <w:t>205.46</w:t>
            </w:r>
          </w:p>
        </w:tc>
        <w:tc>
          <w:tcPr>
            <w:tcW w:w="1134" w:type="dxa"/>
            <w:vAlign w:val="center"/>
          </w:tcPr>
          <w:p>
            <w:pPr>
              <w:pStyle w:val="12"/>
            </w:pPr>
            <w:r>
              <w:t>205.46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205.46</w:t>
            </w:r>
          </w:p>
        </w:tc>
        <w:tc>
          <w:tcPr>
            <w:tcW w:w="1134" w:type="dxa"/>
            <w:vAlign w:val="center"/>
          </w:tcPr>
          <w:p>
            <w:pPr>
              <w:pStyle w:val="12"/>
            </w:pPr>
            <w:r>
              <w:t>205.46</w:t>
            </w:r>
          </w:p>
        </w:tc>
        <w:tc>
          <w:tcPr>
            <w:tcW w:w="1134" w:type="dxa"/>
            <w:vAlign w:val="center"/>
          </w:tcPr>
          <w:p>
            <w:pPr>
              <w:pStyle w:val="12"/>
            </w:pPr>
            <w:r>
              <w:t>205.46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11.98</w:t>
            </w:r>
          </w:p>
        </w:tc>
        <w:tc>
          <w:tcPr>
            <w:tcW w:w="1134" w:type="dxa"/>
            <w:vAlign w:val="center"/>
          </w:tcPr>
          <w:p>
            <w:pPr>
              <w:pStyle w:val="12"/>
            </w:pPr>
            <w:r>
              <w:t>11.98</w:t>
            </w:r>
          </w:p>
        </w:tc>
        <w:tc>
          <w:tcPr>
            <w:tcW w:w="1134" w:type="dxa"/>
            <w:vAlign w:val="center"/>
          </w:tcPr>
          <w:p>
            <w:pPr>
              <w:pStyle w:val="12"/>
            </w:pPr>
            <w:r>
              <w:t>11.98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193.48</w:t>
            </w:r>
          </w:p>
        </w:tc>
        <w:tc>
          <w:tcPr>
            <w:tcW w:w="1134" w:type="dxa"/>
            <w:vAlign w:val="center"/>
          </w:tcPr>
          <w:p>
            <w:pPr>
              <w:pStyle w:val="12"/>
            </w:pPr>
            <w:r>
              <w:t>193.48</w:t>
            </w:r>
          </w:p>
        </w:tc>
        <w:tc>
          <w:tcPr>
            <w:tcW w:w="1134" w:type="dxa"/>
            <w:vAlign w:val="center"/>
          </w:tcPr>
          <w:p>
            <w:pPr>
              <w:pStyle w:val="12"/>
            </w:pPr>
            <w:r>
              <w:t>193.48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24.18</w:t>
            </w:r>
          </w:p>
        </w:tc>
        <w:tc>
          <w:tcPr>
            <w:tcW w:w="1134" w:type="dxa"/>
            <w:vAlign w:val="center"/>
          </w:tcPr>
          <w:p>
            <w:pPr>
              <w:pStyle w:val="12"/>
            </w:pPr>
            <w:r>
              <w:t>24.18</w:t>
            </w:r>
          </w:p>
        </w:tc>
        <w:tc>
          <w:tcPr>
            <w:tcW w:w="1134" w:type="dxa"/>
            <w:vAlign w:val="center"/>
          </w:tcPr>
          <w:p>
            <w:pPr>
              <w:pStyle w:val="12"/>
            </w:pPr>
            <w:r>
              <w:t>24.18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24.18</w:t>
            </w:r>
          </w:p>
        </w:tc>
        <w:tc>
          <w:tcPr>
            <w:tcW w:w="1134" w:type="dxa"/>
            <w:vAlign w:val="center"/>
          </w:tcPr>
          <w:p>
            <w:pPr>
              <w:pStyle w:val="12"/>
            </w:pPr>
            <w:r>
              <w:t>24.18</w:t>
            </w:r>
          </w:p>
        </w:tc>
        <w:tc>
          <w:tcPr>
            <w:tcW w:w="1134" w:type="dxa"/>
            <w:vAlign w:val="center"/>
          </w:tcPr>
          <w:p>
            <w:pPr>
              <w:pStyle w:val="12"/>
            </w:pPr>
            <w:r>
              <w:t>24.18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17.79</w:t>
            </w:r>
          </w:p>
        </w:tc>
        <w:tc>
          <w:tcPr>
            <w:tcW w:w="1134" w:type="dxa"/>
            <w:vAlign w:val="center"/>
          </w:tcPr>
          <w:p>
            <w:pPr>
              <w:pStyle w:val="12"/>
            </w:pPr>
            <w:r>
              <w:t>17.79</w:t>
            </w:r>
          </w:p>
        </w:tc>
        <w:tc>
          <w:tcPr>
            <w:tcW w:w="1134" w:type="dxa"/>
            <w:vAlign w:val="center"/>
          </w:tcPr>
          <w:p>
            <w:pPr>
              <w:pStyle w:val="12"/>
            </w:pPr>
            <w:r>
              <w:t>17.79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6.40</w:t>
            </w:r>
          </w:p>
        </w:tc>
        <w:tc>
          <w:tcPr>
            <w:tcW w:w="1134" w:type="dxa"/>
            <w:vAlign w:val="center"/>
          </w:tcPr>
          <w:p>
            <w:pPr>
              <w:pStyle w:val="12"/>
            </w:pPr>
            <w:r>
              <w:t>6.40</w:t>
            </w:r>
          </w:p>
        </w:tc>
        <w:tc>
          <w:tcPr>
            <w:tcW w:w="1134" w:type="dxa"/>
            <w:vAlign w:val="center"/>
          </w:tcPr>
          <w:p>
            <w:pPr>
              <w:pStyle w:val="12"/>
            </w:pPr>
            <w:r>
              <w:t>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8.12</w:t>
            </w:r>
          </w:p>
        </w:tc>
        <w:tc>
          <w:tcPr>
            <w:tcW w:w="1134" w:type="dxa"/>
            <w:vAlign w:val="center"/>
          </w:tcPr>
          <w:p>
            <w:pPr>
              <w:pStyle w:val="12"/>
            </w:pPr>
            <w:r>
              <w:t>8.12</w:t>
            </w:r>
          </w:p>
        </w:tc>
        <w:tc>
          <w:tcPr>
            <w:tcW w:w="1134" w:type="dxa"/>
            <w:vAlign w:val="center"/>
          </w:tcPr>
          <w:p>
            <w:pPr>
              <w:pStyle w:val="12"/>
            </w:pPr>
            <w:r>
              <w:t>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8.12</w:t>
            </w:r>
          </w:p>
        </w:tc>
        <w:tc>
          <w:tcPr>
            <w:tcW w:w="1134" w:type="dxa"/>
            <w:vAlign w:val="center"/>
          </w:tcPr>
          <w:p>
            <w:pPr>
              <w:pStyle w:val="12"/>
            </w:pPr>
            <w:r>
              <w:t>8.12</w:t>
            </w:r>
          </w:p>
        </w:tc>
        <w:tc>
          <w:tcPr>
            <w:tcW w:w="1134" w:type="dxa"/>
            <w:vAlign w:val="center"/>
          </w:tcPr>
          <w:p>
            <w:pPr>
              <w:pStyle w:val="12"/>
            </w:pPr>
            <w:r>
              <w:t>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0.59</w:t>
            </w:r>
          </w:p>
        </w:tc>
        <w:tc>
          <w:tcPr>
            <w:tcW w:w="1134" w:type="dxa"/>
            <w:vAlign w:val="center"/>
          </w:tcPr>
          <w:p>
            <w:pPr>
              <w:pStyle w:val="12"/>
            </w:pPr>
            <w:r>
              <w:t>0.59</w:t>
            </w:r>
          </w:p>
        </w:tc>
        <w:tc>
          <w:tcPr>
            <w:tcW w:w="1134" w:type="dxa"/>
            <w:vAlign w:val="center"/>
          </w:tcPr>
          <w:p>
            <w:pPr>
              <w:pStyle w:val="12"/>
            </w:pPr>
            <w:r>
              <w:t>0.59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r>
              <w:t>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2038.00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2038.00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2038.00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2038.00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2285.15</w:t>
            </w:r>
          </w:p>
        </w:tc>
        <w:tc>
          <w:tcPr>
            <w:tcW w:w="1361" w:type="dxa"/>
            <w:vAlign w:val="center"/>
          </w:tcPr>
          <w:p>
            <w:pPr>
              <w:pStyle w:val="16"/>
            </w:pPr>
            <w:r>
              <w:t>178.30</w:t>
            </w:r>
          </w:p>
        </w:tc>
        <w:tc>
          <w:tcPr>
            <w:tcW w:w="1361" w:type="dxa"/>
            <w:vAlign w:val="center"/>
          </w:tcPr>
          <w:p>
            <w:pPr>
              <w:pStyle w:val="16"/>
            </w:pPr>
            <w:r>
              <w:t>2106.85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205.46</w:t>
            </w:r>
          </w:p>
        </w:tc>
        <w:tc>
          <w:tcPr>
            <w:tcW w:w="1361" w:type="dxa"/>
            <w:vAlign w:val="center"/>
          </w:tcPr>
          <w:p>
            <w:pPr>
              <w:pStyle w:val="12"/>
            </w:pPr>
            <w:r>
              <w:t>136.61</w:t>
            </w:r>
          </w:p>
        </w:tc>
        <w:tc>
          <w:tcPr>
            <w:tcW w:w="1361" w:type="dxa"/>
            <w:vAlign w:val="center"/>
          </w:tcPr>
          <w:p>
            <w:pPr>
              <w:pStyle w:val="12"/>
            </w:pPr>
            <w:r>
              <w:t>68.85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205.46</w:t>
            </w:r>
          </w:p>
        </w:tc>
        <w:tc>
          <w:tcPr>
            <w:tcW w:w="1361" w:type="dxa"/>
            <w:vAlign w:val="center"/>
          </w:tcPr>
          <w:p>
            <w:pPr>
              <w:pStyle w:val="12"/>
            </w:pPr>
            <w:r>
              <w:t>136.61</w:t>
            </w:r>
          </w:p>
        </w:tc>
        <w:tc>
          <w:tcPr>
            <w:tcW w:w="1361" w:type="dxa"/>
            <w:vAlign w:val="center"/>
          </w:tcPr>
          <w:p>
            <w:pPr>
              <w:pStyle w:val="12"/>
            </w:pPr>
            <w:r>
              <w:t>68.85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11.98</w:t>
            </w:r>
          </w:p>
        </w:tc>
        <w:tc>
          <w:tcPr>
            <w:tcW w:w="1361" w:type="dxa"/>
            <w:vAlign w:val="center"/>
          </w:tcPr>
          <w:p>
            <w:pPr>
              <w:pStyle w:val="12"/>
            </w:pPr>
            <w:r>
              <w:t>11.98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193.48</w:t>
            </w:r>
          </w:p>
        </w:tc>
        <w:tc>
          <w:tcPr>
            <w:tcW w:w="1361" w:type="dxa"/>
            <w:vAlign w:val="center"/>
          </w:tcPr>
          <w:p>
            <w:pPr>
              <w:pStyle w:val="12"/>
            </w:pPr>
            <w:r>
              <w:t>124.63</w:t>
            </w:r>
          </w:p>
        </w:tc>
        <w:tc>
          <w:tcPr>
            <w:tcW w:w="1361" w:type="dxa"/>
            <w:vAlign w:val="center"/>
          </w:tcPr>
          <w:p>
            <w:pPr>
              <w:pStyle w:val="12"/>
            </w:pPr>
            <w:r>
              <w:t>68.85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24.18</w:t>
            </w:r>
          </w:p>
        </w:tc>
        <w:tc>
          <w:tcPr>
            <w:tcW w:w="1361" w:type="dxa"/>
            <w:vAlign w:val="center"/>
          </w:tcPr>
          <w:p>
            <w:pPr>
              <w:pStyle w:val="12"/>
            </w:pPr>
            <w:r>
              <w:t>24.18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24.18</w:t>
            </w:r>
          </w:p>
        </w:tc>
        <w:tc>
          <w:tcPr>
            <w:tcW w:w="1361" w:type="dxa"/>
            <w:vAlign w:val="center"/>
          </w:tcPr>
          <w:p>
            <w:pPr>
              <w:pStyle w:val="12"/>
            </w:pPr>
            <w:r>
              <w:t>24.18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17.79</w:t>
            </w:r>
          </w:p>
        </w:tc>
        <w:tc>
          <w:tcPr>
            <w:tcW w:w="1361" w:type="dxa"/>
            <w:vAlign w:val="center"/>
          </w:tcPr>
          <w:p>
            <w:pPr>
              <w:pStyle w:val="12"/>
            </w:pPr>
            <w:r>
              <w:t>17.79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6.40</w:t>
            </w: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8.12</w:t>
            </w:r>
          </w:p>
        </w:tc>
        <w:tc>
          <w:tcPr>
            <w:tcW w:w="1361" w:type="dxa"/>
            <w:vAlign w:val="center"/>
          </w:tcPr>
          <w:p>
            <w:pPr>
              <w:pStyle w:val="12"/>
            </w:pPr>
            <w:r>
              <w:t>8.12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8.12</w:t>
            </w:r>
          </w:p>
        </w:tc>
        <w:tc>
          <w:tcPr>
            <w:tcW w:w="1361" w:type="dxa"/>
            <w:vAlign w:val="center"/>
          </w:tcPr>
          <w:p>
            <w:pPr>
              <w:pStyle w:val="12"/>
            </w:pPr>
            <w:r>
              <w:t>8.12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0.59</w:t>
            </w:r>
          </w:p>
        </w:tc>
        <w:tc>
          <w:tcPr>
            <w:tcW w:w="1361" w:type="dxa"/>
            <w:vAlign w:val="center"/>
          </w:tcPr>
          <w:p>
            <w:pPr>
              <w:pStyle w:val="12"/>
            </w:pPr>
            <w:r>
              <w:t>0.59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7.52</w:t>
            </w:r>
          </w:p>
        </w:tc>
        <w:tc>
          <w:tcPr>
            <w:tcW w:w="1361" w:type="dxa"/>
            <w:vAlign w:val="center"/>
          </w:tcPr>
          <w:p>
            <w:pPr>
              <w:pStyle w:val="12"/>
            </w:pPr>
            <w:r>
              <w:t>7.52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9.39</w:t>
            </w:r>
          </w:p>
        </w:tc>
        <w:tc>
          <w:tcPr>
            <w:tcW w:w="1361" w:type="dxa"/>
            <w:vAlign w:val="center"/>
          </w:tcPr>
          <w:p>
            <w:pPr>
              <w:pStyle w:val="12"/>
            </w:pPr>
            <w:r>
              <w:t>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9.39</w:t>
            </w:r>
          </w:p>
        </w:tc>
        <w:tc>
          <w:tcPr>
            <w:tcW w:w="1361" w:type="dxa"/>
            <w:vAlign w:val="center"/>
          </w:tcPr>
          <w:p>
            <w:pPr>
              <w:pStyle w:val="12"/>
            </w:pPr>
            <w:r>
              <w:t>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9.39</w:t>
            </w:r>
          </w:p>
        </w:tc>
        <w:tc>
          <w:tcPr>
            <w:tcW w:w="1361" w:type="dxa"/>
            <w:vAlign w:val="center"/>
          </w:tcPr>
          <w:p>
            <w:pPr>
              <w:pStyle w:val="12"/>
            </w:pPr>
            <w:r>
              <w:t>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r>
              <w:t>2038.00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247.15</w:t>
            </w:r>
          </w:p>
        </w:tc>
        <w:tc>
          <w:tcPr>
            <w:tcW w:w="3402" w:type="dxa"/>
            <w:vAlign w:val="center"/>
          </w:tcPr>
          <w:p>
            <w:pPr>
              <w:pStyle w:val="13"/>
            </w:pPr>
            <w:r>
              <w:t>一、一般公共服务支出</w:t>
            </w:r>
          </w:p>
        </w:tc>
        <w:tc>
          <w:tcPr>
            <w:tcW w:w="1474" w:type="dxa"/>
            <w:vAlign w:val="center"/>
          </w:tcPr>
          <w:p>
            <w:pPr>
              <w:pStyle w:val="12"/>
            </w:pPr>
            <w:r>
              <w:t>205.46</w:t>
            </w:r>
          </w:p>
        </w:tc>
        <w:tc>
          <w:tcPr>
            <w:tcW w:w="1474" w:type="dxa"/>
            <w:vAlign w:val="center"/>
          </w:tcPr>
          <w:p>
            <w:pPr>
              <w:pStyle w:val="12"/>
            </w:pPr>
            <w:r>
              <w:t>205.46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24.18</w:t>
            </w:r>
          </w:p>
        </w:tc>
        <w:tc>
          <w:tcPr>
            <w:tcW w:w="1474" w:type="dxa"/>
            <w:vAlign w:val="center"/>
          </w:tcPr>
          <w:p>
            <w:pPr>
              <w:pStyle w:val="12"/>
            </w:pPr>
            <w:r>
              <w:t>24.18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8.12</w:t>
            </w:r>
          </w:p>
        </w:tc>
        <w:tc>
          <w:tcPr>
            <w:tcW w:w="1474" w:type="dxa"/>
            <w:vAlign w:val="center"/>
          </w:tcPr>
          <w:p>
            <w:pPr>
              <w:pStyle w:val="12"/>
            </w:pPr>
            <w:r>
              <w:t>8.12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9.39</w:t>
            </w:r>
          </w:p>
        </w:tc>
        <w:tc>
          <w:tcPr>
            <w:tcW w:w="1474" w:type="dxa"/>
            <w:vAlign w:val="center"/>
          </w:tcPr>
          <w:p>
            <w:pPr>
              <w:pStyle w:val="12"/>
            </w:pPr>
            <w:r>
              <w:t>9.39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2038.00</w:t>
            </w:r>
          </w:p>
        </w:tc>
        <w:tc>
          <w:tcPr>
            <w:tcW w:w="1474" w:type="dxa"/>
            <w:vAlign w:val="center"/>
          </w:tcPr>
          <w:p>
            <w:pPr>
              <w:pStyle w:val="12"/>
            </w:pPr>
          </w:p>
        </w:tc>
        <w:tc>
          <w:tcPr>
            <w:tcW w:w="1474" w:type="dxa"/>
            <w:vAlign w:val="center"/>
          </w:tcPr>
          <w:p>
            <w:pPr>
              <w:pStyle w:val="12"/>
            </w:pPr>
            <w:r>
              <w:t>2038.00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247.15</w:t>
            </w:r>
          </w:p>
        </w:tc>
        <w:tc>
          <w:tcPr>
            <w:tcW w:w="3402" w:type="dxa"/>
            <w:vAlign w:val="center"/>
          </w:tcPr>
          <w:p>
            <w:pPr>
              <w:pStyle w:val="15"/>
            </w:pPr>
            <w:r>
              <w:t>本年支出合计</w:t>
            </w:r>
          </w:p>
        </w:tc>
        <w:tc>
          <w:tcPr>
            <w:tcW w:w="1474" w:type="dxa"/>
            <w:vAlign w:val="center"/>
          </w:tcPr>
          <w:p>
            <w:pPr>
              <w:pStyle w:val="16"/>
            </w:pPr>
            <w:r>
              <w:t>2285.15</w:t>
            </w:r>
          </w:p>
        </w:tc>
        <w:tc>
          <w:tcPr>
            <w:tcW w:w="1474" w:type="dxa"/>
            <w:vAlign w:val="center"/>
          </w:tcPr>
          <w:p>
            <w:pPr>
              <w:pStyle w:val="16"/>
            </w:pPr>
            <w:r>
              <w:t>247.15</w:t>
            </w:r>
          </w:p>
        </w:tc>
        <w:tc>
          <w:tcPr>
            <w:tcW w:w="1474" w:type="dxa"/>
            <w:vAlign w:val="center"/>
          </w:tcPr>
          <w:p>
            <w:pPr>
              <w:pStyle w:val="16"/>
            </w:pPr>
            <w:r>
              <w:t>2038.00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2038.00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2038.00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2285.15</w:t>
            </w:r>
          </w:p>
        </w:tc>
        <w:tc>
          <w:tcPr>
            <w:tcW w:w="3402" w:type="dxa"/>
            <w:vAlign w:val="center"/>
          </w:tcPr>
          <w:p>
            <w:pPr>
              <w:pStyle w:val="15"/>
            </w:pPr>
            <w:r>
              <w:t>支出总计</w:t>
            </w:r>
          </w:p>
        </w:tc>
        <w:tc>
          <w:tcPr>
            <w:tcW w:w="1474" w:type="dxa"/>
            <w:vAlign w:val="center"/>
          </w:tcPr>
          <w:p>
            <w:pPr>
              <w:pStyle w:val="16"/>
            </w:pPr>
            <w:r>
              <w:t>2285.15</w:t>
            </w:r>
          </w:p>
        </w:tc>
        <w:tc>
          <w:tcPr>
            <w:tcW w:w="1474" w:type="dxa"/>
            <w:vAlign w:val="center"/>
          </w:tcPr>
          <w:p>
            <w:pPr>
              <w:pStyle w:val="16"/>
            </w:pPr>
            <w:r>
              <w:t>247.15</w:t>
            </w:r>
          </w:p>
        </w:tc>
        <w:tc>
          <w:tcPr>
            <w:tcW w:w="1474" w:type="dxa"/>
            <w:vAlign w:val="center"/>
          </w:tcPr>
          <w:p>
            <w:pPr>
              <w:pStyle w:val="16"/>
            </w:pPr>
            <w:r>
              <w:t>2038.00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247.15</w:t>
            </w:r>
          </w:p>
        </w:tc>
        <w:tc>
          <w:tcPr>
            <w:tcW w:w="2551" w:type="dxa"/>
            <w:vAlign w:val="center"/>
          </w:tcPr>
          <w:p>
            <w:pPr>
              <w:pStyle w:val="16"/>
            </w:pPr>
            <w:r>
              <w:t>178.30</w:t>
            </w:r>
          </w:p>
        </w:tc>
        <w:tc>
          <w:tcPr>
            <w:tcW w:w="2551" w:type="dxa"/>
            <w:vAlign w:val="center"/>
          </w:tcPr>
          <w:p>
            <w:pPr>
              <w:pStyle w:val="16"/>
            </w:pPr>
            <w:r>
              <w:t>68.85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205.46</w:t>
            </w:r>
          </w:p>
        </w:tc>
        <w:tc>
          <w:tcPr>
            <w:tcW w:w="2551" w:type="dxa"/>
            <w:vAlign w:val="center"/>
          </w:tcPr>
          <w:p>
            <w:pPr>
              <w:pStyle w:val="12"/>
            </w:pPr>
            <w:r>
              <w:t>136.61</w:t>
            </w:r>
          </w:p>
        </w:tc>
        <w:tc>
          <w:tcPr>
            <w:tcW w:w="2551" w:type="dxa"/>
            <w:vAlign w:val="center"/>
          </w:tcPr>
          <w:p>
            <w:pPr>
              <w:pStyle w:val="12"/>
            </w:pPr>
            <w:r>
              <w:t>68.85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205.46</w:t>
            </w:r>
          </w:p>
        </w:tc>
        <w:tc>
          <w:tcPr>
            <w:tcW w:w="2551" w:type="dxa"/>
            <w:vAlign w:val="center"/>
          </w:tcPr>
          <w:p>
            <w:pPr>
              <w:pStyle w:val="12"/>
            </w:pPr>
            <w:r>
              <w:t>136.61</w:t>
            </w:r>
          </w:p>
        </w:tc>
        <w:tc>
          <w:tcPr>
            <w:tcW w:w="2551" w:type="dxa"/>
            <w:vAlign w:val="center"/>
          </w:tcPr>
          <w:p>
            <w:pPr>
              <w:pStyle w:val="12"/>
            </w:pPr>
            <w:r>
              <w:t>68.85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11.98</w:t>
            </w:r>
          </w:p>
        </w:tc>
        <w:tc>
          <w:tcPr>
            <w:tcW w:w="2551" w:type="dxa"/>
            <w:vAlign w:val="center"/>
          </w:tcPr>
          <w:p>
            <w:pPr>
              <w:pStyle w:val="12"/>
            </w:pPr>
            <w:r>
              <w:t>11.98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193.48</w:t>
            </w:r>
          </w:p>
        </w:tc>
        <w:tc>
          <w:tcPr>
            <w:tcW w:w="2551" w:type="dxa"/>
            <w:vAlign w:val="center"/>
          </w:tcPr>
          <w:p>
            <w:pPr>
              <w:pStyle w:val="12"/>
            </w:pPr>
            <w:r>
              <w:t>124.63</w:t>
            </w:r>
          </w:p>
        </w:tc>
        <w:tc>
          <w:tcPr>
            <w:tcW w:w="2551" w:type="dxa"/>
            <w:vAlign w:val="center"/>
          </w:tcPr>
          <w:p>
            <w:pPr>
              <w:pStyle w:val="12"/>
            </w:pPr>
            <w:r>
              <w:t>68.85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24.18</w:t>
            </w:r>
          </w:p>
        </w:tc>
        <w:tc>
          <w:tcPr>
            <w:tcW w:w="2551" w:type="dxa"/>
            <w:vAlign w:val="center"/>
          </w:tcPr>
          <w:p>
            <w:pPr>
              <w:pStyle w:val="12"/>
            </w:pPr>
            <w:r>
              <w:t>24.18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24.18</w:t>
            </w:r>
          </w:p>
        </w:tc>
        <w:tc>
          <w:tcPr>
            <w:tcW w:w="2551" w:type="dxa"/>
            <w:vAlign w:val="center"/>
          </w:tcPr>
          <w:p>
            <w:pPr>
              <w:pStyle w:val="12"/>
            </w:pPr>
            <w:r>
              <w:t>24.18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17.79</w:t>
            </w:r>
          </w:p>
        </w:tc>
        <w:tc>
          <w:tcPr>
            <w:tcW w:w="2551" w:type="dxa"/>
            <w:vAlign w:val="center"/>
          </w:tcPr>
          <w:p>
            <w:pPr>
              <w:pStyle w:val="12"/>
            </w:pPr>
            <w:r>
              <w:t>17.79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6.40</w:t>
            </w:r>
          </w:p>
        </w:tc>
        <w:tc>
          <w:tcPr>
            <w:tcW w:w="2551" w:type="dxa"/>
            <w:vAlign w:val="center"/>
          </w:tcPr>
          <w:p>
            <w:pPr>
              <w:pStyle w:val="12"/>
            </w:pPr>
            <w:r>
              <w:t>6.40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8.12</w:t>
            </w:r>
          </w:p>
        </w:tc>
        <w:tc>
          <w:tcPr>
            <w:tcW w:w="2551" w:type="dxa"/>
            <w:vAlign w:val="center"/>
          </w:tcPr>
          <w:p>
            <w:pPr>
              <w:pStyle w:val="12"/>
            </w:pPr>
            <w:r>
              <w:t>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8.12</w:t>
            </w:r>
          </w:p>
        </w:tc>
        <w:tc>
          <w:tcPr>
            <w:tcW w:w="2551" w:type="dxa"/>
            <w:vAlign w:val="center"/>
          </w:tcPr>
          <w:p>
            <w:pPr>
              <w:pStyle w:val="12"/>
            </w:pPr>
            <w:r>
              <w:t>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0.59</w:t>
            </w:r>
          </w:p>
        </w:tc>
        <w:tc>
          <w:tcPr>
            <w:tcW w:w="2551" w:type="dxa"/>
            <w:vAlign w:val="center"/>
          </w:tcPr>
          <w:p>
            <w:pPr>
              <w:pStyle w:val="12"/>
            </w:pPr>
            <w:r>
              <w:t>0.59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7.52</w:t>
            </w:r>
          </w:p>
        </w:tc>
        <w:tc>
          <w:tcPr>
            <w:tcW w:w="2551" w:type="dxa"/>
            <w:vAlign w:val="center"/>
          </w:tcPr>
          <w:p>
            <w:pPr>
              <w:pStyle w:val="12"/>
            </w:pPr>
            <w:r>
              <w:t>7.52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9.39</w:t>
            </w:r>
          </w:p>
        </w:tc>
        <w:tc>
          <w:tcPr>
            <w:tcW w:w="2551" w:type="dxa"/>
            <w:vAlign w:val="center"/>
          </w:tcPr>
          <w:p>
            <w:pPr>
              <w:pStyle w:val="12"/>
            </w:pPr>
            <w:r>
              <w:t>9.39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9.39</w:t>
            </w:r>
          </w:p>
        </w:tc>
        <w:tc>
          <w:tcPr>
            <w:tcW w:w="2551" w:type="dxa"/>
            <w:vAlign w:val="center"/>
          </w:tcPr>
          <w:p>
            <w:pPr>
              <w:pStyle w:val="12"/>
            </w:pPr>
            <w:r>
              <w:t>9.39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9.39</w:t>
            </w:r>
          </w:p>
        </w:tc>
        <w:tc>
          <w:tcPr>
            <w:tcW w:w="2551" w:type="dxa"/>
            <w:vAlign w:val="center"/>
          </w:tcPr>
          <w:p>
            <w:pPr>
              <w:pStyle w:val="12"/>
            </w:pPr>
            <w:r>
              <w:t>9.39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178.30</w:t>
            </w:r>
          </w:p>
        </w:tc>
        <w:tc>
          <w:tcPr>
            <w:tcW w:w="2551" w:type="dxa"/>
            <w:vAlign w:val="center"/>
          </w:tcPr>
          <w:p>
            <w:pPr>
              <w:pStyle w:val="16"/>
            </w:pPr>
            <w:r>
              <w:t>173.30</w:t>
            </w: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160.22</w:t>
            </w:r>
          </w:p>
        </w:tc>
        <w:tc>
          <w:tcPr>
            <w:tcW w:w="2551" w:type="dxa"/>
            <w:vAlign w:val="center"/>
          </w:tcPr>
          <w:p>
            <w:pPr>
              <w:pStyle w:val="12"/>
            </w:pPr>
            <w:r>
              <w:t>160.22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75.43</w:t>
            </w:r>
          </w:p>
        </w:tc>
        <w:tc>
          <w:tcPr>
            <w:tcW w:w="2551" w:type="dxa"/>
            <w:vAlign w:val="center"/>
          </w:tcPr>
          <w:p>
            <w:pPr>
              <w:pStyle w:val="12"/>
            </w:pPr>
            <w:r>
              <w:t>75.43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8.10</w:t>
            </w:r>
          </w:p>
        </w:tc>
        <w:tc>
          <w:tcPr>
            <w:tcW w:w="2551" w:type="dxa"/>
            <w:vAlign w:val="center"/>
          </w:tcPr>
          <w:p>
            <w:pPr>
              <w:pStyle w:val="12"/>
            </w:pPr>
            <w:r>
              <w:t>8.10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1.32</w:t>
            </w:r>
          </w:p>
        </w:tc>
        <w:tc>
          <w:tcPr>
            <w:tcW w:w="2551" w:type="dxa"/>
            <w:vAlign w:val="center"/>
          </w:tcPr>
          <w:p>
            <w:pPr>
              <w:pStyle w:val="12"/>
            </w:pPr>
            <w:r>
              <w:t>1.32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32.48</w:t>
            </w:r>
          </w:p>
        </w:tc>
        <w:tc>
          <w:tcPr>
            <w:tcW w:w="2551" w:type="dxa"/>
            <w:vAlign w:val="center"/>
          </w:tcPr>
          <w:p>
            <w:pPr>
              <w:pStyle w:val="12"/>
            </w:pPr>
            <w:r>
              <w:t>32.48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17.79</w:t>
            </w:r>
          </w:p>
        </w:tc>
        <w:tc>
          <w:tcPr>
            <w:tcW w:w="2551" w:type="dxa"/>
            <w:vAlign w:val="center"/>
          </w:tcPr>
          <w:p>
            <w:pPr>
              <w:pStyle w:val="12"/>
            </w:pPr>
            <w:r>
              <w:t>17.79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6.40</w:t>
            </w:r>
          </w:p>
        </w:tc>
        <w:tc>
          <w:tcPr>
            <w:tcW w:w="2551" w:type="dxa"/>
            <w:vAlign w:val="center"/>
          </w:tcPr>
          <w:p>
            <w:pPr>
              <w:pStyle w:val="12"/>
            </w:pPr>
            <w:r>
              <w:t>6.40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8.12</w:t>
            </w:r>
          </w:p>
        </w:tc>
        <w:tc>
          <w:tcPr>
            <w:tcW w:w="2551" w:type="dxa"/>
            <w:vAlign w:val="center"/>
          </w:tcPr>
          <w:p>
            <w:pPr>
              <w:pStyle w:val="12"/>
            </w:pPr>
            <w:r>
              <w:t>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1.20</w:t>
            </w:r>
          </w:p>
        </w:tc>
        <w:tc>
          <w:tcPr>
            <w:tcW w:w="2551" w:type="dxa"/>
            <w:vAlign w:val="center"/>
          </w:tcPr>
          <w:p>
            <w:pPr>
              <w:pStyle w:val="12"/>
            </w:pPr>
            <w:r>
              <w:t>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9.39</w:t>
            </w:r>
          </w:p>
        </w:tc>
        <w:tc>
          <w:tcPr>
            <w:tcW w:w="2551" w:type="dxa"/>
            <w:vAlign w:val="center"/>
          </w:tcPr>
          <w:p>
            <w:pPr>
              <w:pStyle w:val="12"/>
            </w:pPr>
            <w:r>
              <w:t>9.39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0.98</w:t>
            </w:r>
          </w:p>
        </w:tc>
        <w:tc>
          <w:tcPr>
            <w:tcW w:w="2551" w:type="dxa"/>
            <w:vAlign w:val="center"/>
          </w:tcPr>
          <w:p>
            <w:pPr>
              <w:pStyle w:val="12"/>
            </w:pPr>
          </w:p>
        </w:tc>
        <w:tc>
          <w:tcPr>
            <w:tcW w:w="2551" w:type="dxa"/>
            <w:vAlign w:val="center"/>
          </w:tcPr>
          <w:p>
            <w:pPr>
              <w:pStyle w:val="12"/>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1.08</w:t>
            </w:r>
          </w:p>
        </w:tc>
        <w:tc>
          <w:tcPr>
            <w:tcW w:w="2551" w:type="dxa"/>
            <w:vAlign w:val="center"/>
          </w:tcPr>
          <w:p>
            <w:pPr>
              <w:pStyle w:val="12"/>
            </w:pPr>
          </w:p>
        </w:tc>
        <w:tc>
          <w:tcPr>
            <w:tcW w:w="2551"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1.14</w:t>
            </w:r>
          </w:p>
        </w:tc>
        <w:tc>
          <w:tcPr>
            <w:tcW w:w="2551" w:type="dxa"/>
            <w:vAlign w:val="center"/>
          </w:tcPr>
          <w:p>
            <w:pPr>
              <w:pStyle w:val="12"/>
            </w:pPr>
          </w:p>
        </w:tc>
        <w:tc>
          <w:tcPr>
            <w:tcW w:w="2551" w:type="dxa"/>
            <w:vAlign w:val="center"/>
          </w:tcPr>
          <w:p>
            <w:pPr>
              <w:pStyle w:val="12"/>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13.09</w:t>
            </w:r>
          </w:p>
        </w:tc>
        <w:tc>
          <w:tcPr>
            <w:tcW w:w="2551" w:type="dxa"/>
            <w:vAlign w:val="center"/>
          </w:tcPr>
          <w:p>
            <w:pPr>
              <w:pStyle w:val="12"/>
            </w:pPr>
            <w:r>
              <w:t>13.09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11.09</w:t>
            </w:r>
          </w:p>
        </w:tc>
        <w:tc>
          <w:tcPr>
            <w:tcW w:w="2551" w:type="dxa"/>
            <w:vAlign w:val="center"/>
          </w:tcPr>
          <w:p>
            <w:pPr>
              <w:pStyle w:val="12"/>
            </w:pPr>
            <w:r>
              <w:t>11.09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1.99</w:t>
            </w:r>
          </w:p>
        </w:tc>
        <w:tc>
          <w:tcPr>
            <w:tcW w:w="2551" w:type="dxa"/>
            <w:vAlign w:val="center"/>
          </w:tcPr>
          <w:p>
            <w:pPr>
              <w:pStyle w:val="12"/>
            </w:pPr>
            <w:r>
              <w:t>1.99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2038.00</w:t>
            </w:r>
          </w:p>
        </w:tc>
        <w:tc>
          <w:tcPr>
            <w:tcW w:w="2551" w:type="dxa"/>
            <w:vAlign w:val="center"/>
          </w:tcPr>
          <w:p>
            <w:pPr>
              <w:pStyle w:val="16"/>
            </w:pPr>
          </w:p>
        </w:tc>
        <w:tc>
          <w:tcPr>
            <w:tcW w:w="2551" w:type="dxa"/>
            <w:vAlign w:val="center"/>
          </w:tcPr>
          <w:p>
            <w:pPr>
              <w:pStyle w:val="16"/>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2038.00</w:t>
            </w:r>
          </w:p>
        </w:tc>
        <w:tc>
          <w:tcPr>
            <w:tcW w:w="2551" w:type="dxa"/>
            <w:vAlign w:val="center"/>
          </w:tcPr>
          <w:p>
            <w:pPr>
              <w:pStyle w:val="12"/>
            </w:pPr>
          </w:p>
        </w:tc>
        <w:tc>
          <w:tcPr>
            <w:tcW w:w="2551" w:type="dxa"/>
            <w:vAlign w:val="center"/>
          </w:tcPr>
          <w:p>
            <w:pPr>
              <w:pStyle w:val="12"/>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2038.00</w:t>
            </w:r>
          </w:p>
        </w:tc>
        <w:tc>
          <w:tcPr>
            <w:tcW w:w="2551" w:type="dxa"/>
            <w:vAlign w:val="center"/>
          </w:tcPr>
          <w:p>
            <w:pPr>
              <w:pStyle w:val="12"/>
            </w:pPr>
          </w:p>
        </w:tc>
        <w:tc>
          <w:tcPr>
            <w:tcW w:w="2551" w:type="dxa"/>
            <w:vAlign w:val="center"/>
          </w:tcPr>
          <w:p>
            <w:pPr>
              <w:pStyle w:val="12"/>
            </w:pPr>
            <w:r>
              <w:t>2038.00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2038.00</w:t>
            </w:r>
          </w:p>
        </w:tc>
        <w:tc>
          <w:tcPr>
            <w:tcW w:w="2551" w:type="dxa"/>
            <w:vAlign w:val="center"/>
          </w:tcPr>
          <w:p>
            <w:pPr>
              <w:pStyle w:val="12"/>
            </w:pPr>
          </w:p>
        </w:tc>
        <w:tc>
          <w:tcPr>
            <w:tcW w:w="2551" w:type="dxa"/>
            <w:vAlign w:val="center"/>
          </w:tcPr>
          <w:p>
            <w:pPr>
              <w:pStyle w:val="12"/>
            </w:pPr>
            <w:r>
              <w:t>2038.00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432昌黎县碣石山综合开发中心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昌黎县碣石山综合开发中心2026年部门预算信息公开情况说明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昌黎县碣石山综合开发中心2026年部门预算信息公开情况说明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按照《中华人民共和国预算法》、《地方预决算公开操作规程》和《关于进一步推进预算公开工作的实施意见》规定，现将昌黎县碣石山综合开发中心2026年部门预算公开如下：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昌黎县碣石山综合开发中心负责编制碣石山片区的总体规划和产业发展规划；负责片区基础设施和公共设施的完善、建设、维护；片区项目的谋划包装、项目洽谈、政策服务等招商引资工作；负责片区新建项目的选址初审工作；负责项目建设的协调服务工作；片区内葡萄酒产业、企业协调服务工作；片区内景区的开发建设、日常管理工作；负责统筹指导片区主导产业及整体形象的设计包装、资源保护和对外宣传工作；负责指导所属开发公司的开发运营工作及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昌黎县碣石山综合开发中心本级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按照预算管理有关规定，目前部门预算的编制实行综合预算管理，即全部收入和支出都反映在预算中。昌黎县碣石山综合开发中心机关及所属事业单位的收支包含在部门预算中。</w:t>
      </w:r>
    </w:p>
    <w:p>
      <w:pPr>
        <w:pStyle w:val="19"/>
      </w:pPr>
      <w:r>
        <w:t>1、收入说明</w:t>
      </w:r>
    </w:p>
    <w:p>
      <w:pPr>
        <w:pStyle w:val="19"/>
      </w:pPr>
      <w:r>
        <w:t>反映本部门当年全部收入。2026年预算收入2285.15万元，其中：一般公共预算收入247.15万元，基金预算收入0.00万元，国有资本经营预算收入0.00万元，财政专户核拨收入0.00万元，单位资金收入0.00万元，上年结转结余2038.00万元。</w:t>
      </w:r>
    </w:p>
    <w:p>
      <w:pPr>
        <w:pStyle w:val="19"/>
      </w:pPr>
      <w:r>
        <w:t>2、支出说明</w:t>
      </w:r>
    </w:p>
    <w:p>
      <w:pPr>
        <w:pStyle w:val="19"/>
      </w:pPr>
      <w:r>
        <w:t>收支预算总表支出栏、基本支出表、项目支出表按经济分类和支出功能分类科目编制，反映昌黎县碣石山综合开发中心年度部门预算中支出预算的总体情况。2026年支出预算2285.15万元，其中基本支出178.30万元，包括人员经费173.30万元和日常公用经费5.00万元；项目支出2106.85万元，主要为特定项目68.85万元，上年度结转项目2038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2285.15万元，较2025年预算增加41.91万元，其中：基本支出减少7.80万元，主要为人员减少，导致基本支出减少。项目支出增加49.71万元，主要为上年结转项目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减少1.80万元，增减变化的主要原因是为落实习惯过紧日子要求，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w:t>
      </w:r>
      <w:r>
        <w:rPr>
          <w:rFonts w:hint="eastAsia"/>
          <w:lang w:eastAsia="zh-CN"/>
        </w:rPr>
        <w:t>根据秦皇岛碣石山葡萄酒产区保护条例</w:t>
      </w:r>
      <w:r>
        <w:t>，利用上级政策、葡萄酒学院、行业协会等相关部门、机构，引导葡萄酒产业转型升级；利用“碣石山产区”地域特色，搭建新闻宣传平台、策划专题宣传；统筹“中国昌黎国际葡萄酒节”</w:t>
      </w:r>
      <w:r>
        <w:rPr>
          <w:rFonts w:hint="eastAsia"/>
          <w:lang w:eastAsia="zh-CN"/>
        </w:rPr>
        <w:t>主题</w:t>
      </w:r>
      <w:r>
        <w:t>活动及系列的宣传活动，活动计划2次；利用国际及国内知名展会、大赛等活动宣传造势，活动计划6次，提升昌黎碣石山产区的知名度和美誉度，培育地域及企业品牌，打造国际葡萄酒平台。</w:t>
      </w:r>
    </w:p>
    <w:p>
      <w:pPr>
        <w:pStyle w:val="22"/>
      </w:pPr>
      <w:r>
        <w:t>（二）推进北部山区乡村旅游基础和配套设施及A级景区创建，积极推进乡村旅游标准化建设及特色产品品牌打造；围绕唱响“东临碣石观沧海，绿水青山看昌黎”，着力打造昌黎旅游品牌体系，编制精品旅游线路；完善两景区的旅游接待，增加五峰山景区红色接待次数。预计接待人数为4万人次。做好景区森林资源保护，做好森林防火工作，积极开展防火演练及培训。</w:t>
      </w:r>
    </w:p>
    <w:p>
      <w:pPr>
        <w:pStyle w:val="22"/>
      </w:pPr>
      <w:r>
        <w:t>（三）加强片区建设及各开发项目建设的管控；紧抓京津冀协同发展重要战略，以招商引资为抓手，着力引进较大影响力的大企业建设符合片区发展理念的重大项目；围绕产业融合、特色文化、生态康养发展理念，打造片区产业支撑。继续推进重点项目1个，加强招商，协调项目进行中的问题。</w:t>
      </w:r>
    </w:p>
    <w:p>
      <w:pPr>
        <w:pStyle w:val="22"/>
      </w:pPr>
      <w:r>
        <w:t>（四）根据年初工作安排，开展片区工作。负责纪检监察、党务、财务、后勤等工作；组织、安排和协调各类会议和活动，确保机关正常运行，提高工作效率，圆满完成县委、县政府交办的各类事项。正常运转保障人数不低于18人，保障机关正常运转人员支出。提高机关业务水平，推动经济社会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（一）引导葡萄酒产业发展</w:t>
      </w:r>
    </w:p>
    <w:p>
      <w:pPr>
        <w:pStyle w:val="23"/>
      </w:pPr>
      <w:r>
        <w:t>绩效目标：引导葡萄酒产业转型升级,利用“碣石山产区”地域特色，搭建新闻宣传平台、策划专题宣传,</w:t>
      </w:r>
      <w:r>
        <w:rPr>
          <w:rFonts w:hint="eastAsia"/>
          <w:lang w:eastAsia="zh-CN"/>
        </w:rPr>
        <w:t>主题</w:t>
      </w:r>
      <w:r>
        <w:t>活动及系列的宣传活动,培育地域及企业品牌，打造国际葡萄酒平台。</w:t>
      </w:r>
    </w:p>
    <w:p>
      <w:pPr>
        <w:pStyle w:val="23"/>
      </w:pPr>
      <w:r>
        <w:t>绩效指标：利用“碣石山产区”地域特色，搭建新闻宣传平台、策划专题宣传,</w:t>
      </w:r>
      <w:r>
        <w:rPr>
          <w:rFonts w:hint="eastAsia"/>
          <w:lang w:eastAsia="zh-CN"/>
        </w:rPr>
        <w:t>主题</w:t>
      </w:r>
      <w:bookmarkStart w:id="20" w:name="_GoBack"/>
      <w:bookmarkEnd w:id="20"/>
      <w:r>
        <w:t>活动及系列的宣传活动10次左右。</w:t>
      </w:r>
    </w:p>
    <w:p>
      <w:pPr>
        <w:pStyle w:val="23"/>
      </w:pPr>
      <w:r>
        <w:t>（二）增强片区规划与开发</w:t>
      </w:r>
    </w:p>
    <w:p>
      <w:pPr>
        <w:pStyle w:val="23"/>
      </w:pPr>
      <w:r>
        <w:t>绩效目标：围绕产业融合、特色文化、生态康养发展理念，打造片区产业支撑。</w:t>
      </w:r>
    </w:p>
    <w:p>
      <w:pPr>
        <w:pStyle w:val="23"/>
      </w:pPr>
      <w:r>
        <w:t>绩效指标：继续推进重点项目1个，加强招商，协调项目进行中的问题。</w:t>
      </w:r>
    </w:p>
    <w:p>
      <w:pPr>
        <w:pStyle w:val="23"/>
      </w:pPr>
      <w:r>
        <w:t>（三）加强景区管理</w:t>
      </w:r>
    </w:p>
    <w:p>
      <w:pPr>
        <w:pStyle w:val="23"/>
      </w:pPr>
      <w:r>
        <w:t>绩效目标：着力打造昌黎旅游品牌体系，编制精品旅游线路，加强对碣石山、五峰山景区行业指导，做好景区森林资源保护和防火工作，做好李大钊革命旧址、爱国教育基地的红色旅游和接待工作。</w:t>
      </w:r>
    </w:p>
    <w:p>
      <w:pPr>
        <w:pStyle w:val="23"/>
      </w:pPr>
      <w:r>
        <w:t>绩效指标：完善两景区的旅游接待，增加五峰山景区红色接待次数。做好景区森林资源保护，做好森林防火工作，积极开展防火演练及培训。</w:t>
      </w:r>
    </w:p>
    <w:p>
      <w:pPr>
        <w:pStyle w:val="23"/>
      </w:pPr>
      <w:r>
        <w:t>（四）做好片区事务管理</w:t>
      </w:r>
    </w:p>
    <w:p>
      <w:pPr>
        <w:pStyle w:val="23"/>
      </w:pPr>
      <w:r>
        <w:t>绩效目标：促进机关自身建设水平不断提高；保障机关正常运转，服务保障能力进一步提升。</w:t>
      </w:r>
    </w:p>
    <w:p>
      <w:pPr>
        <w:pStyle w:val="23"/>
      </w:pPr>
      <w:r>
        <w:t>绩效指标：正常运转保障人数不低于</w:t>
      </w:r>
      <w:r>
        <w:rPr>
          <w:rFonts w:hint="eastAsia"/>
          <w:lang w:val="en-US" w:eastAsia="zh-CN"/>
        </w:rPr>
        <w:t>14</w:t>
      </w:r>
      <w:r>
        <w:t>人，保障机关正常运转人员支出。提高机关业务水平，推动经济社会发展。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制定完善的预算绩效管理制度、资金管理办法、工作保障制度等，为全年预算绩效目标的实现奠定制度基础。</w:t>
      </w:r>
    </w:p>
    <w:p>
      <w:pPr>
        <w:pStyle w:val="24"/>
      </w:pPr>
      <w:r>
        <w:t>（二）加强支出管理</w:t>
      </w:r>
    </w:p>
    <w:p>
      <w:pPr>
        <w:pStyle w:val="24"/>
      </w:pPr>
      <w:r>
        <w:t>优化支出结构、编细编实预算、加快履行政府采购手续、尽快启动项目、及时支付资金、按规定及时下达资金等多种措施，确保支出进度达标。</w:t>
      </w:r>
    </w:p>
    <w:p>
      <w:pPr>
        <w:pStyle w:val="24"/>
      </w:pPr>
      <w:r>
        <w:t>（三）加强绩效运行监控</w:t>
      </w:r>
    </w:p>
    <w:p>
      <w:pPr>
        <w:pStyle w:val="24"/>
      </w:pPr>
      <w:r>
        <w:t>按要求开展绩效运行监控，发现问题及时采取措施，确保绩效目标如期保质实现。</w:t>
      </w:r>
    </w:p>
    <w:p>
      <w:pPr>
        <w:pStyle w:val="24"/>
      </w:pPr>
      <w:r>
        <w:t>（四）做好绩效自评</w:t>
      </w:r>
    </w:p>
    <w:p>
      <w:pPr>
        <w:pStyle w:val="24"/>
      </w:pPr>
      <w:r>
        <w:t>按要求开展上年度部门预算绩效自评和重点评价工作，对评价中发现的问题及时整改，调整优化支出结构，提高财政资金使用效益。</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ascii="黑体" w:hAnsi="黑体" w:eastAsia="黑体" w:cs="黑体"/>
          <w:color w:val="000000"/>
          <w:sz w:val="32"/>
        </w:rPr>
      </w:pPr>
    </w:p>
    <w:p>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640" w:firstLineChars="200"/>
        <w:jc w:val="left"/>
        <w:textAlignment w:val="auto"/>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1、昌黎县2025年新增专项债券用于政府拖欠企业账款（6.30）6658698321869152576-葡萄小镇重点区域电力迁改项目绩效目标表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13032225P00229510116E</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昌黎县2025年新增专项债券用于政府拖欠企业账款（6.30）6658698321869152576-葡萄小镇重点区域电力迁改项目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解决政府拖欠企业账款</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1.解决政府拖欠企业账款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解决拖欠资金</w:t>
            </w:r>
          </w:p>
        </w:tc>
        <w:tc>
          <w:tcPr>
            <w:tcW w:w="5386" w:type="dxa"/>
            <w:vAlign w:val="center"/>
          </w:tcPr>
          <w:p>
            <w:pPr>
              <w:pStyle w:val="13"/>
            </w:pPr>
            <w:r>
              <w:t>解决拖欠资金</w:t>
            </w:r>
          </w:p>
        </w:tc>
        <w:tc>
          <w:tcPr>
            <w:tcW w:w="2268" w:type="dxa"/>
            <w:vAlign w:val="center"/>
          </w:tcPr>
          <w:p>
            <w:pPr>
              <w:pStyle w:val="13"/>
            </w:pPr>
            <w:r>
              <w:t>≤21万元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项目按时完成</w:t>
            </w:r>
          </w:p>
        </w:tc>
        <w:tc>
          <w:tcPr>
            <w:tcW w:w="5386" w:type="dxa"/>
            <w:vAlign w:val="center"/>
          </w:tcPr>
          <w:p>
            <w:pPr>
              <w:pStyle w:val="13"/>
            </w:pPr>
            <w:r>
              <w:t>项目按时完成</w:t>
            </w:r>
          </w:p>
          <w:p>
            <w:pPr>
              <w:pStyle w:val="13"/>
            </w:pP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及时完成支付</w:t>
            </w:r>
          </w:p>
        </w:tc>
        <w:tc>
          <w:tcPr>
            <w:tcW w:w="5386" w:type="dxa"/>
            <w:vAlign w:val="center"/>
          </w:tcPr>
          <w:p>
            <w:pPr>
              <w:pStyle w:val="13"/>
            </w:pPr>
            <w:r>
              <w:t>及时完成支付</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资金金额</w:t>
            </w:r>
          </w:p>
        </w:tc>
        <w:tc>
          <w:tcPr>
            <w:tcW w:w="5386" w:type="dxa"/>
            <w:vAlign w:val="center"/>
          </w:tcPr>
          <w:p>
            <w:pPr>
              <w:pStyle w:val="13"/>
            </w:pPr>
            <w:r>
              <w:t>资金金额</w:t>
            </w:r>
          </w:p>
        </w:tc>
        <w:tc>
          <w:tcPr>
            <w:tcW w:w="2268" w:type="dxa"/>
            <w:vAlign w:val="center"/>
          </w:tcPr>
          <w:p>
            <w:pPr>
              <w:pStyle w:val="13"/>
            </w:pPr>
            <w:r>
              <w:t>≤21万元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提高经济效益</w:t>
            </w:r>
          </w:p>
        </w:tc>
        <w:tc>
          <w:tcPr>
            <w:tcW w:w="5386" w:type="dxa"/>
            <w:vAlign w:val="center"/>
          </w:tcPr>
          <w:p>
            <w:pPr>
              <w:pStyle w:val="13"/>
            </w:pPr>
            <w:r>
              <w:t>提高经济效益</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明显社会影响力</w:t>
            </w:r>
          </w:p>
        </w:tc>
        <w:tc>
          <w:tcPr>
            <w:tcW w:w="5386" w:type="dxa"/>
            <w:vAlign w:val="center"/>
          </w:tcPr>
          <w:p>
            <w:pPr>
              <w:pStyle w:val="13"/>
            </w:pPr>
            <w:r>
              <w:t>明显社会影响力</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项目建成效果</w:t>
            </w:r>
          </w:p>
        </w:tc>
        <w:tc>
          <w:tcPr>
            <w:tcW w:w="5386" w:type="dxa"/>
            <w:vAlign w:val="center"/>
          </w:tcPr>
          <w:p>
            <w:pPr>
              <w:pStyle w:val="13"/>
            </w:pPr>
            <w:r>
              <w:t>项目建成效果</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服务对象对项目认可程度</w:t>
            </w:r>
          </w:p>
        </w:tc>
        <w:tc>
          <w:tcPr>
            <w:tcW w:w="5386" w:type="dxa"/>
            <w:vAlign w:val="center"/>
          </w:tcPr>
          <w:p>
            <w:pPr>
              <w:pStyle w:val="13"/>
            </w:pPr>
            <w:r>
              <w:t>服务对象对项目认可程度</w:t>
            </w:r>
          </w:p>
        </w:tc>
        <w:tc>
          <w:tcPr>
            <w:tcW w:w="2268" w:type="dxa"/>
            <w:vAlign w:val="center"/>
          </w:tcPr>
          <w:p>
            <w:pPr>
              <w:pStyle w:val="13"/>
            </w:pPr>
            <w:r>
              <w:t>≥90%</w:t>
            </w:r>
          </w:p>
        </w:tc>
        <w:tc>
          <w:tcPr>
            <w:tcW w:w="1276" w:type="dxa"/>
            <w:vAlign w:val="center"/>
          </w:tcPr>
          <w:p>
            <w:pPr>
              <w:pStyle w:val="13"/>
            </w:pPr>
            <w:r>
              <w:t>绩效管理办法</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2、昌黎县2025年新增专项债券用于政府拖欠企业账款（6.30）6658698321869152663-杏树园文化广场项目绩效目标表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13032225P002295101366</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昌黎县2025年新增专项债券用于政府拖欠企业账款（6.30）6658698321869152663-杏树园文化广场项目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"解决政府拖欠企业账款</w:t>
            </w:r>
            <w:r>
              <w:tab/>
            </w:r>
            <w:r>
              <w:tab/>
            </w:r>
            <w:r>
              <w:tab/>
            </w:r>
            <w:r>
              <w:tab/>
            </w:r>
            <w:r>
              <w:tab/>
            </w:r>
            <w:r>
              <w:tab/>
            </w:r>
          </w:p>
          <w:p>
            <w:pPr>
              <w:pStyle w:val="13"/>
            </w:pPr>
            <w:r>
              <w:t>"</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1.解决政府拖欠企业账款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解决拖欠资金</w:t>
            </w:r>
          </w:p>
        </w:tc>
        <w:tc>
          <w:tcPr>
            <w:tcW w:w="5386" w:type="dxa"/>
            <w:vAlign w:val="center"/>
          </w:tcPr>
          <w:p>
            <w:pPr>
              <w:pStyle w:val="13"/>
            </w:pPr>
            <w:r>
              <w:t>解决拖欠资金</w:t>
            </w:r>
          </w:p>
        </w:tc>
        <w:tc>
          <w:tcPr>
            <w:tcW w:w="2268" w:type="dxa"/>
            <w:vAlign w:val="center"/>
          </w:tcPr>
          <w:p>
            <w:pPr>
              <w:pStyle w:val="13"/>
            </w:pPr>
            <w:r>
              <w:t>≤17万元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项目按时完成</w:t>
            </w:r>
          </w:p>
        </w:tc>
        <w:tc>
          <w:tcPr>
            <w:tcW w:w="5386" w:type="dxa"/>
            <w:vAlign w:val="center"/>
          </w:tcPr>
          <w:p>
            <w:pPr>
              <w:pStyle w:val="13"/>
            </w:pPr>
            <w:r>
              <w:t>项目按时完成</w:t>
            </w:r>
          </w:p>
          <w:p>
            <w:pPr>
              <w:pStyle w:val="13"/>
            </w:pP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及时完成支付</w:t>
            </w:r>
          </w:p>
        </w:tc>
        <w:tc>
          <w:tcPr>
            <w:tcW w:w="5386" w:type="dxa"/>
            <w:vAlign w:val="center"/>
          </w:tcPr>
          <w:p>
            <w:pPr>
              <w:pStyle w:val="13"/>
            </w:pPr>
            <w:r>
              <w:t>及时完成支付</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资金金额</w:t>
            </w:r>
          </w:p>
        </w:tc>
        <w:tc>
          <w:tcPr>
            <w:tcW w:w="5386" w:type="dxa"/>
            <w:vAlign w:val="center"/>
          </w:tcPr>
          <w:p>
            <w:pPr>
              <w:pStyle w:val="13"/>
            </w:pPr>
            <w:r>
              <w:t>资金金额</w:t>
            </w:r>
          </w:p>
        </w:tc>
        <w:tc>
          <w:tcPr>
            <w:tcW w:w="2268" w:type="dxa"/>
            <w:vAlign w:val="center"/>
          </w:tcPr>
          <w:p>
            <w:pPr>
              <w:pStyle w:val="13"/>
            </w:pPr>
            <w:r>
              <w:t>≤17万元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提高经济效益</w:t>
            </w:r>
          </w:p>
        </w:tc>
        <w:tc>
          <w:tcPr>
            <w:tcW w:w="5386" w:type="dxa"/>
            <w:vAlign w:val="center"/>
          </w:tcPr>
          <w:p>
            <w:pPr>
              <w:pStyle w:val="13"/>
            </w:pPr>
            <w:r>
              <w:t>提高经济效益</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明显社会影响力</w:t>
            </w:r>
          </w:p>
        </w:tc>
        <w:tc>
          <w:tcPr>
            <w:tcW w:w="5386" w:type="dxa"/>
            <w:vAlign w:val="center"/>
          </w:tcPr>
          <w:p>
            <w:pPr>
              <w:pStyle w:val="13"/>
            </w:pPr>
            <w:r>
              <w:t>明显社会影响力</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进一步提高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项目建成效果</w:t>
            </w:r>
          </w:p>
        </w:tc>
        <w:tc>
          <w:tcPr>
            <w:tcW w:w="5386" w:type="dxa"/>
            <w:vAlign w:val="center"/>
          </w:tcPr>
          <w:p>
            <w:pPr>
              <w:pStyle w:val="13"/>
            </w:pPr>
            <w:r>
              <w:t>项目建成效果</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服务对象对项目认可程度</w:t>
            </w:r>
          </w:p>
        </w:tc>
        <w:tc>
          <w:tcPr>
            <w:tcW w:w="5386" w:type="dxa"/>
            <w:vAlign w:val="center"/>
          </w:tcPr>
          <w:p>
            <w:pPr>
              <w:pStyle w:val="13"/>
            </w:pPr>
            <w:r>
              <w:t>服务对象对项目认可程度</w:t>
            </w:r>
          </w:p>
        </w:tc>
        <w:tc>
          <w:tcPr>
            <w:tcW w:w="2268" w:type="dxa"/>
            <w:vAlign w:val="center"/>
          </w:tcPr>
          <w:p>
            <w:pPr>
              <w:pStyle w:val="13"/>
            </w:pPr>
            <w:r>
              <w:t>≥90%</w:t>
            </w:r>
          </w:p>
        </w:tc>
        <w:tc>
          <w:tcPr>
            <w:tcW w:w="1276" w:type="dxa"/>
            <w:vAlign w:val="center"/>
          </w:tcPr>
          <w:p>
            <w:pPr>
              <w:pStyle w:val="13"/>
            </w:pPr>
            <w:r>
              <w:t>绩效管理办法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13032226P002333100706</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68.85</w:t>
            </w:r>
          </w:p>
        </w:tc>
        <w:tc>
          <w:tcPr>
            <w:tcW w:w="2835" w:type="dxa"/>
            <w:vAlign w:val="center"/>
          </w:tcPr>
          <w:p>
            <w:pPr>
              <w:pStyle w:val="11"/>
            </w:pPr>
            <w:r>
              <w:t>其中：财政    资金</w:t>
            </w:r>
          </w:p>
        </w:tc>
        <w:tc>
          <w:tcPr>
            <w:tcW w:w="2551" w:type="dxa"/>
            <w:vAlign w:val="center"/>
          </w:tcPr>
          <w:p>
            <w:pPr>
              <w:pStyle w:val="13"/>
            </w:pPr>
            <w:r>
              <w:t>68.85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保证人员工资按时发放，确保机关单位正常运转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职工取暖费补助标准</w:t>
            </w:r>
          </w:p>
        </w:tc>
        <w:tc>
          <w:tcPr>
            <w:tcW w:w="5386" w:type="dxa"/>
            <w:vAlign w:val="center"/>
          </w:tcPr>
          <w:p>
            <w:pPr>
              <w:pStyle w:val="13"/>
            </w:pPr>
            <w:r>
              <w:t>职工住宅取暖补贴的年补助标准</w:t>
            </w:r>
          </w:p>
        </w:tc>
        <w:tc>
          <w:tcPr>
            <w:tcW w:w="2268" w:type="dxa"/>
            <w:vAlign w:val="center"/>
          </w:tcPr>
          <w:p>
            <w:pPr>
              <w:pStyle w:val="13"/>
            </w:pPr>
            <w:r>
              <w:t>2500元</w:t>
            </w:r>
          </w:p>
        </w:tc>
        <w:tc>
          <w:tcPr>
            <w:tcW w:w="1276" w:type="dxa"/>
            <w:vAlign w:val="center"/>
          </w:tcPr>
          <w:p>
            <w:pPr>
              <w:pStyle w:val="13"/>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住宅取暖补贴领取人数</w:t>
            </w:r>
          </w:p>
        </w:tc>
        <w:tc>
          <w:tcPr>
            <w:tcW w:w="5386" w:type="dxa"/>
            <w:vAlign w:val="center"/>
          </w:tcPr>
          <w:p>
            <w:pPr>
              <w:pStyle w:val="13"/>
            </w:pPr>
            <w:r>
              <w:t>单位领取住宅取费补贴的人数</w:t>
            </w:r>
          </w:p>
        </w:tc>
        <w:tc>
          <w:tcPr>
            <w:tcW w:w="2268" w:type="dxa"/>
            <w:vAlign w:val="center"/>
          </w:tcPr>
          <w:p>
            <w:pPr>
              <w:pStyle w:val="13"/>
            </w:pPr>
            <w:r>
              <w:t>≤11人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不低于上年度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较上年度提高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4、秦皇岛市昌黎县葡萄小镇区域污水收集提升改造工程绩效目标表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13032223PYXZVR451M38O</w:t>
            </w:r>
          </w:p>
        </w:tc>
        <w:tc>
          <w:tcPr>
            <w:tcW w:w="2835" w:type="dxa"/>
            <w:vAlign w:val="center"/>
          </w:tcPr>
          <w:p>
            <w:pPr>
              <w:pStyle w:val="11"/>
            </w:pPr>
            <w:r>
              <w:t>项目名称</w:t>
            </w:r>
          </w:p>
        </w:tc>
        <w:tc>
          <w:tcPr>
            <w:tcW w:w="6095" w:type="dxa"/>
            <w:gridSpan w:val="3"/>
            <w:vAlign w:val="center"/>
          </w:tcPr>
          <w:p>
            <w:pPr>
              <w:pStyle w:val="13"/>
            </w:pPr>
            <w:r>
              <w:t>秦皇岛市昌黎县葡萄小镇区域污水收集提升改造工程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新建污水主管道长度19.6公里，检查井约700座，污水提升泵站2座，主要为十里铺乡、五里营村等污水等网沿线居民、企业排放污水。</w:t>
            </w:r>
            <w:r>
              <w:tab/>
            </w:r>
            <w:r>
              <w:tab/>
            </w:r>
            <w:r>
              <w:tab/>
            </w:r>
            <w:r>
              <w:tab/>
            </w:r>
            <w:r>
              <w:tab/>
            </w:r>
            <w:r>
              <w:tab/>
            </w:r>
          </w:p>
          <w:p>
            <w:pPr>
              <w:pStyle w:val="13"/>
            </w:pP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1.新建污水主管道长度19.6公里，检查井约700座，污水提升泵站2座，主要为十里铺乡、五里营村等污水等网沿线居民、企业排放污水。</w:t>
            </w:r>
            <w:r>
              <w:tab/>
            </w:r>
            <w:r>
              <w:tab/>
            </w:r>
            <w:r>
              <w:tab/>
            </w:r>
            <w:r>
              <w:tab/>
            </w:r>
            <w:r>
              <w:tab/>
            </w:r>
            <w:r>
              <w:tab/>
            </w:r>
          </w:p>
          <w:p>
            <w:pPr>
              <w:pStyle w:val="13"/>
            </w:pP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新建污水主管道长度</w:t>
            </w:r>
          </w:p>
        </w:tc>
        <w:tc>
          <w:tcPr>
            <w:tcW w:w="5386" w:type="dxa"/>
            <w:vAlign w:val="center"/>
          </w:tcPr>
          <w:p>
            <w:pPr>
              <w:pStyle w:val="13"/>
            </w:pPr>
            <w:r>
              <w:t>新建污水主管道长度</w:t>
            </w:r>
          </w:p>
        </w:tc>
        <w:tc>
          <w:tcPr>
            <w:tcW w:w="2268" w:type="dxa"/>
            <w:vAlign w:val="center"/>
          </w:tcPr>
          <w:p>
            <w:pPr>
              <w:pStyle w:val="13"/>
            </w:pPr>
            <w:r>
              <w:t>≥19公里</w:t>
            </w:r>
          </w:p>
        </w:tc>
        <w:tc>
          <w:tcPr>
            <w:tcW w:w="1276" w:type="dxa"/>
            <w:vAlign w:val="center"/>
          </w:tcPr>
          <w:p>
            <w:pPr>
              <w:pStyle w:val="13"/>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工程安排完成率</w:t>
            </w:r>
          </w:p>
        </w:tc>
        <w:tc>
          <w:tcPr>
            <w:tcW w:w="5386" w:type="dxa"/>
            <w:vAlign w:val="center"/>
          </w:tcPr>
          <w:p>
            <w:pPr>
              <w:pStyle w:val="13"/>
            </w:pPr>
            <w:r>
              <w:t>工程安排完成率</w:t>
            </w:r>
          </w:p>
        </w:tc>
        <w:tc>
          <w:tcPr>
            <w:tcW w:w="2268" w:type="dxa"/>
            <w:vAlign w:val="center"/>
          </w:tcPr>
          <w:p>
            <w:pPr>
              <w:pStyle w:val="13"/>
            </w:pPr>
            <w:r>
              <w:t>≥100%</w:t>
            </w:r>
          </w:p>
        </w:tc>
        <w:tc>
          <w:tcPr>
            <w:tcW w:w="1276" w:type="dxa"/>
            <w:vAlign w:val="center"/>
          </w:tcPr>
          <w:p>
            <w:pPr>
              <w:pStyle w:val="13"/>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建设成本控制</w:t>
            </w:r>
          </w:p>
        </w:tc>
        <w:tc>
          <w:tcPr>
            <w:tcW w:w="5386" w:type="dxa"/>
            <w:vAlign w:val="center"/>
          </w:tcPr>
          <w:p>
            <w:pPr>
              <w:pStyle w:val="13"/>
            </w:pPr>
            <w:r>
              <w:t>建设成本控制</w:t>
            </w:r>
          </w:p>
        </w:tc>
        <w:tc>
          <w:tcPr>
            <w:tcW w:w="2268" w:type="dxa"/>
            <w:vAlign w:val="center"/>
          </w:tcPr>
          <w:p>
            <w:pPr>
              <w:pStyle w:val="13"/>
            </w:pPr>
            <w:r>
              <w:t>≤2500万元</w:t>
            </w:r>
          </w:p>
        </w:tc>
        <w:tc>
          <w:tcPr>
            <w:tcW w:w="1276" w:type="dxa"/>
            <w:vAlign w:val="center"/>
          </w:tcPr>
          <w:p>
            <w:pPr>
              <w:pStyle w:val="13"/>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提高收益</w:t>
            </w:r>
          </w:p>
        </w:tc>
        <w:tc>
          <w:tcPr>
            <w:tcW w:w="1276" w:type="dxa"/>
            <w:vAlign w:val="center"/>
          </w:tcPr>
          <w:p>
            <w:pPr>
              <w:pStyle w:val="13"/>
            </w:pPr>
            <w:r>
              <w:t>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有效解决村内污水面源污染</w:t>
            </w:r>
          </w:p>
        </w:tc>
        <w:tc>
          <w:tcPr>
            <w:tcW w:w="5386" w:type="dxa"/>
            <w:vAlign w:val="center"/>
          </w:tcPr>
          <w:p>
            <w:pPr>
              <w:pStyle w:val="13"/>
            </w:pPr>
            <w:r>
              <w:t>有效解决村内污水面源污染</w:t>
            </w:r>
          </w:p>
        </w:tc>
        <w:tc>
          <w:tcPr>
            <w:tcW w:w="2268" w:type="dxa"/>
            <w:vAlign w:val="center"/>
          </w:tcPr>
          <w:p>
            <w:pPr>
              <w:pStyle w:val="13"/>
            </w:pPr>
            <w:r>
              <w:t>有效提升</w:t>
            </w:r>
          </w:p>
        </w:tc>
        <w:tc>
          <w:tcPr>
            <w:tcW w:w="1276" w:type="dxa"/>
            <w:vAlign w:val="center"/>
          </w:tcPr>
          <w:p>
            <w:pPr>
              <w:pStyle w:val="13"/>
            </w:pPr>
            <w:r>
              <w:t>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项目可持续发展影响周期</w:t>
            </w:r>
          </w:p>
        </w:tc>
        <w:tc>
          <w:tcPr>
            <w:tcW w:w="5386" w:type="dxa"/>
            <w:vAlign w:val="center"/>
          </w:tcPr>
          <w:p>
            <w:pPr>
              <w:pStyle w:val="13"/>
            </w:pPr>
            <w:r>
              <w:t>项目可持续发展影响周期</w:t>
            </w:r>
          </w:p>
        </w:tc>
        <w:tc>
          <w:tcPr>
            <w:tcW w:w="2268" w:type="dxa"/>
            <w:vAlign w:val="center"/>
          </w:tcPr>
          <w:p>
            <w:pPr>
              <w:pStyle w:val="13"/>
            </w:pPr>
            <w:r>
              <w:t>≥1年</w:t>
            </w:r>
          </w:p>
        </w:tc>
        <w:tc>
          <w:tcPr>
            <w:tcW w:w="1276" w:type="dxa"/>
            <w:vAlign w:val="center"/>
          </w:tcPr>
          <w:p>
            <w:pPr>
              <w:pStyle w:val="13"/>
            </w:pPr>
            <w:r>
              <w:t>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保护生态环境</w:t>
            </w:r>
          </w:p>
        </w:tc>
        <w:tc>
          <w:tcPr>
            <w:tcW w:w="5386" w:type="dxa"/>
            <w:vAlign w:val="center"/>
          </w:tcPr>
          <w:p>
            <w:pPr>
              <w:pStyle w:val="13"/>
            </w:pPr>
            <w:r>
              <w:t>保护生态环境</w:t>
            </w:r>
          </w:p>
        </w:tc>
        <w:tc>
          <w:tcPr>
            <w:tcW w:w="2268" w:type="dxa"/>
            <w:vAlign w:val="center"/>
          </w:tcPr>
          <w:p>
            <w:pPr>
              <w:pStyle w:val="13"/>
            </w:pPr>
            <w:r>
              <w:t>保护生态环境</w:t>
            </w:r>
          </w:p>
        </w:tc>
        <w:tc>
          <w:tcPr>
            <w:tcW w:w="1276" w:type="dxa"/>
            <w:vAlign w:val="center"/>
          </w:tcPr>
          <w:p>
            <w:pPr>
              <w:pStyle w:val="13"/>
            </w:pPr>
            <w:r>
              <w:t>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统计调查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432昌黎县碣石山综合开发中心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昌黎县碣石山综合开发中心（含所属单位）上年末固定资产金额为577.46万元（详见下表）。本年度拟购置固定资产总额为0.00万元，已按要求列入政府采购预算，详见政府采购预算表。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432昌黎县碣石山综合开发中心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577.46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43</w:t>
            </w:r>
          </w:p>
        </w:tc>
        <w:tc>
          <w:tcPr>
            <w:tcW w:w="2835" w:type="dxa"/>
            <w:vAlign w:val="center"/>
          </w:tcPr>
          <w:p>
            <w:pPr>
              <w:pStyle w:val="12"/>
            </w:pPr>
            <w:r>
              <w:t>577.46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95C8C"/>
    <w:multiLevelType w:val="singleLevel"/>
    <w:tmpl w:val="E1595C8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3569"/>
    <w:rsid w:val="110C2DD0"/>
    <w:rsid w:val="147E451F"/>
    <w:rsid w:val="503B393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360</Words>
  <Characters>384</Characters>
  <TotalTime>6</TotalTime>
  <ScaleCrop>false</ScaleCrop>
  <LinksUpToDate>false</LinksUpToDate>
  <CharactersWithSpaces>405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cp:lastPrinted>2026-02-04T02:27:00Z</cp:lastPrinted>
  <dcterms:modified xsi:type="dcterms:W3CDTF">2026-02-05T06:20:05Z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125C7007D6A14EE7870404629546C0EF_13</vt:lpwstr>
  </property>
  <property fmtid="{D5CDD505-2E9C-101B-9397-08002B2CF9AE}" pid="4" name="KSOTemplateDocerSaveRecord">
    <vt:lpwstr>eyJoZGlkIjoiMGYyMzUxMzVkNTY0MTNhNjllZGYyNDEyZWNkZmE2NGYiLCJ1c2VySWQiOiIyNzYzODQyNjQifQ==</vt:lpwstr>
  </property>
</Properties>
</file>