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138.58</w:t>
            </w:r>
          </w:p>
        </w:tc>
        <w:tc>
          <w:tcPr>
            <w:tcW w:w="4535" w:type="dxa"/>
            <w:vAlign w:val="center"/>
          </w:tcPr>
          <w:p>
            <w:pPr>
              <w:pStyle w:val="13"/>
            </w:pPr>
            <w:r>
              <w:t>一、一般公共服务支出</w:t>
            </w:r>
          </w:p>
        </w:tc>
        <w:tc>
          <w:tcPr>
            <w:tcW w:w="2126" w:type="dxa"/>
            <w:vAlign w:val="center"/>
          </w:tcPr>
          <w:p>
            <w:pPr>
              <w:pStyle w:val="12"/>
            </w:pPr>
            <w:r>
              <w:t>109.60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138.58</w:t>
            </w:r>
          </w:p>
        </w:tc>
        <w:tc>
          <w:tcPr>
            <w:tcW w:w="4535" w:type="dxa"/>
            <w:vAlign w:val="center"/>
          </w:tcPr>
          <w:p>
            <w:pPr>
              <w:pStyle w:val="15"/>
            </w:pPr>
            <w:r>
              <w:t>本年支出合计</w:t>
            </w:r>
          </w:p>
        </w:tc>
        <w:tc>
          <w:tcPr>
            <w:tcW w:w="2126" w:type="dxa"/>
            <w:vAlign w:val="center"/>
          </w:tcPr>
          <w:p>
            <w:pPr>
              <w:pStyle w:val="16"/>
            </w:pPr>
            <w:r>
              <w:t>138.58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138.58</w:t>
            </w:r>
          </w:p>
        </w:tc>
        <w:tc>
          <w:tcPr>
            <w:tcW w:w="4535" w:type="dxa"/>
            <w:vAlign w:val="center"/>
          </w:tcPr>
          <w:p>
            <w:pPr>
              <w:pStyle w:val="15"/>
            </w:pPr>
            <w:r>
              <w:t>支出总计</w:t>
            </w:r>
          </w:p>
        </w:tc>
        <w:tc>
          <w:tcPr>
            <w:tcW w:w="2126" w:type="dxa"/>
            <w:vAlign w:val="center"/>
          </w:tcPr>
          <w:p>
            <w:pPr>
              <w:pStyle w:val="16"/>
            </w:pPr>
            <w:r>
              <w:t>138.58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19"/>
        <w:gridCol w:w="1432"/>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19" w:type="dxa"/>
            <w:vAlign w:val="center"/>
          </w:tcPr>
          <w:p>
            <w:pPr>
              <w:pStyle w:val="11"/>
            </w:pPr>
            <w:r>
              <w:t>科目    编码</w:t>
            </w:r>
          </w:p>
        </w:tc>
        <w:tc>
          <w:tcPr>
            <w:tcW w:w="1432"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1119" w:type="dxa"/>
            <w:vAlign w:val="center"/>
          </w:tcPr>
          <w:p>
            <w:pPr>
              <w:pStyle w:val="11"/>
            </w:pPr>
            <w:r>
              <w:t>1</w:t>
            </w:r>
          </w:p>
        </w:tc>
        <w:tc>
          <w:tcPr>
            <w:tcW w:w="1432"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1119" w:type="dxa"/>
            <w:vAlign w:val="center"/>
          </w:tcPr>
          <w:p>
            <w:pPr>
              <w:pStyle w:val="17"/>
            </w:pPr>
          </w:p>
        </w:tc>
        <w:tc>
          <w:tcPr>
            <w:tcW w:w="1432" w:type="dxa"/>
            <w:vAlign w:val="center"/>
          </w:tcPr>
          <w:p>
            <w:pPr>
              <w:pStyle w:val="15"/>
            </w:pPr>
            <w:r>
              <w:t>合计</w:t>
            </w:r>
          </w:p>
        </w:tc>
        <w:tc>
          <w:tcPr>
            <w:tcW w:w="1134" w:type="dxa"/>
            <w:vAlign w:val="center"/>
          </w:tcPr>
          <w:p>
            <w:pPr>
              <w:pStyle w:val="16"/>
            </w:pPr>
            <w:r>
              <w:t>138.58</w:t>
            </w:r>
          </w:p>
        </w:tc>
        <w:tc>
          <w:tcPr>
            <w:tcW w:w="1134" w:type="dxa"/>
            <w:vAlign w:val="center"/>
          </w:tcPr>
          <w:p>
            <w:pPr>
              <w:pStyle w:val="16"/>
            </w:pPr>
            <w:r>
              <w:t>138.58</w:t>
            </w:r>
          </w:p>
        </w:tc>
        <w:tc>
          <w:tcPr>
            <w:tcW w:w="1134" w:type="dxa"/>
            <w:vAlign w:val="center"/>
          </w:tcPr>
          <w:p>
            <w:pPr>
              <w:pStyle w:val="16"/>
            </w:pPr>
            <w:r>
              <w:t>138.58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1119" w:type="dxa"/>
            <w:vAlign w:val="center"/>
          </w:tcPr>
          <w:p>
            <w:pPr>
              <w:pStyle w:val="13"/>
            </w:pPr>
            <w:r>
              <w:t>201</w:t>
            </w:r>
          </w:p>
        </w:tc>
        <w:tc>
          <w:tcPr>
            <w:tcW w:w="1432" w:type="dxa"/>
            <w:vAlign w:val="center"/>
          </w:tcPr>
          <w:p>
            <w:pPr>
              <w:pStyle w:val="13"/>
            </w:pPr>
            <w:r>
              <w:t>一般公共服务支出</w:t>
            </w:r>
          </w:p>
        </w:tc>
        <w:tc>
          <w:tcPr>
            <w:tcW w:w="1134" w:type="dxa"/>
            <w:vAlign w:val="center"/>
          </w:tcPr>
          <w:p>
            <w:pPr>
              <w:pStyle w:val="12"/>
            </w:pPr>
            <w:r>
              <w:t>109.60</w:t>
            </w:r>
          </w:p>
        </w:tc>
        <w:tc>
          <w:tcPr>
            <w:tcW w:w="1134" w:type="dxa"/>
            <w:vAlign w:val="center"/>
          </w:tcPr>
          <w:p>
            <w:pPr>
              <w:pStyle w:val="12"/>
            </w:pPr>
            <w:r>
              <w:t>109.60</w:t>
            </w:r>
          </w:p>
        </w:tc>
        <w:tc>
          <w:tcPr>
            <w:tcW w:w="1134" w:type="dxa"/>
            <w:vAlign w:val="center"/>
          </w:tcPr>
          <w:p>
            <w:pPr>
              <w:pStyle w:val="12"/>
            </w:pPr>
            <w:r>
              <w:t>109.60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1119" w:type="dxa"/>
            <w:vAlign w:val="center"/>
          </w:tcPr>
          <w:p>
            <w:pPr>
              <w:pStyle w:val="13"/>
            </w:pPr>
            <w:r>
              <w:t>20132</w:t>
            </w:r>
          </w:p>
        </w:tc>
        <w:tc>
          <w:tcPr>
            <w:tcW w:w="1432" w:type="dxa"/>
            <w:vAlign w:val="center"/>
          </w:tcPr>
          <w:p>
            <w:pPr>
              <w:pStyle w:val="13"/>
            </w:pPr>
            <w:r>
              <w:t>组织事务</w:t>
            </w:r>
          </w:p>
        </w:tc>
        <w:tc>
          <w:tcPr>
            <w:tcW w:w="1134" w:type="dxa"/>
            <w:vAlign w:val="center"/>
          </w:tcPr>
          <w:p>
            <w:pPr>
              <w:pStyle w:val="12"/>
            </w:pPr>
            <w:r>
              <w:t>109.60</w:t>
            </w:r>
          </w:p>
        </w:tc>
        <w:tc>
          <w:tcPr>
            <w:tcW w:w="1134" w:type="dxa"/>
            <w:vAlign w:val="center"/>
          </w:tcPr>
          <w:p>
            <w:pPr>
              <w:pStyle w:val="12"/>
            </w:pPr>
            <w:r>
              <w:t>109.60</w:t>
            </w:r>
          </w:p>
        </w:tc>
        <w:tc>
          <w:tcPr>
            <w:tcW w:w="1134" w:type="dxa"/>
            <w:vAlign w:val="center"/>
          </w:tcPr>
          <w:p>
            <w:pPr>
              <w:pStyle w:val="12"/>
            </w:pPr>
            <w:r>
              <w:t>109.60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1119" w:type="dxa"/>
            <w:vAlign w:val="center"/>
          </w:tcPr>
          <w:p>
            <w:pPr>
              <w:pStyle w:val="13"/>
            </w:pPr>
            <w:r>
              <w:t>2013201</w:t>
            </w:r>
          </w:p>
        </w:tc>
        <w:tc>
          <w:tcPr>
            <w:tcW w:w="1432" w:type="dxa"/>
            <w:vAlign w:val="center"/>
          </w:tcPr>
          <w:p>
            <w:pPr>
              <w:pStyle w:val="13"/>
            </w:pPr>
            <w:r>
              <w:t>行政运行</w:t>
            </w:r>
          </w:p>
        </w:tc>
        <w:tc>
          <w:tcPr>
            <w:tcW w:w="1134" w:type="dxa"/>
            <w:vAlign w:val="center"/>
          </w:tcPr>
          <w:p>
            <w:pPr>
              <w:pStyle w:val="12"/>
            </w:pPr>
            <w:r>
              <w:t>84.08</w:t>
            </w:r>
          </w:p>
        </w:tc>
        <w:tc>
          <w:tcPr>
            <w:tcW w:w="1134" w:type="dxa"/>
            <w:vAlign w:val="center"/>
          </w:tcPr>
          <w:p>
            <w:pPr>
              <w:pStyle w:val="12"/>
            </w:pPr>
            <w:r>
              <w:t>84.08</w:t>
            </w:r>
          </w:p>
        </w:tc>
        <w:tc>
          <w:tcPr>
            <w:tcW w:w="1134" w:type="dxa"/>
            <w:vAlign w:val="center"/>
          </w:tcPr>
          <w:p>
            <w:pPr>
              <w:pStyle w:val="12"/>
            </w:pPr>
            <w:r>
              <w:t>84.08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1119" w:type="dxa"/>
            <w:vAlign w:val="center"/>
          </w:tcPr>
          <w:p>
            <w:pPr>
              <w:pStyle w:val="13"/>
            </w:pPr>
            <w:r>
              <w:t>2013250</w:t>
            </w:r>
          </w:p>
        </w:tc>
        <w:tc>
          <w:tcPr>
            <w:tcW w:w="1432" w:type="dxa"/>
            <w:vAlign w:val="center"/>
          </w:tcPr>
          <w:p>
            <w:pPr>
              <w:pStyle w:val="13"/>
            </w:pPr>
            <w:r>
              <w:t>事业运行</w:t>
            </w:r>
          </w:p>
        </w:tc>
        <w:tc>
          <w:tcPr>
            <w:tcW w:w="1134" w:type="dxa"/>
            <w:vAlign w:val="center"/>
          </w:tcPr>
          <w:p>
            <w:pPr>
              <w:pStyle w:val="12"/>
            </w:pPr>
            <w:r>
              <w:t>25.52</w:t>
            </w:r>
          </w:p>
        </w:tc>
        <w:tc>
          <w:tcPr>
            <w:tcW w:w="1134" w:type="dxa"/>
            <w:vAlign w:val="center"/>
          </w:tcPr>
          <w:p>
            <w:pPr>
              <w:pStyle w:val="12"/>
            </w:pPr>
            <w:r>
              <w:t>25.52</w:t>
            </w:r>
          </w:p>
        </w:tc>
        <w:tc>
          <w:tcPr>
            <w:tcW w:w="1134" w:type="dxa"/>
            <w:vAlign w:val="center"/>
          </w:tcPr>
          <w:p>
            <w:pPr>
              <w:pStyle w:val="12"/>
            </w:pPr>
            <w:r>
              <w:t>25.52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1119" w:type="dxa"/>
            <w:vAlign w:val="center"/>
          </w:tcPr>
          <w:p>
            <w:pPr>
              <w:pStyle w:val="13"/>
            </w:pPr>
            <w:r>
              <w:t>208</w:t>
            </w:r>
          </w:p>
        </w:tc>
        <w:tc>
          <w:tcPr>
            <w:tcW w:w="1432" w:type="dxa"/>
            <w:vAlign w:val="center"/>
          </w:tcPr>
          <w:p>
            <w:pPr>
              <w:pStyle w:val="13"/>
            </w:pPr>
            <w:r>
              <w:t>社会保障和就业支出</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1119" w:type="dxa"/>
            <w:vAlign w:val="center"/>
          </w:tcPr>
          <w:p>
            <w:pPr>
              <w:pStyle w:val="13"/>
            </w:pPr>
            <w:r>
              <w:t>20805</w:t>
            </w:r>
          </w:p>
        </w:tc>
        <w:tc>
          <w:tcPr>
            <w:tcW w:w="1432" w:type="dxa"/>
            <w:vAlign w:val="center"/>
          </w:tcPr>
          <w:p>
            <w:pPr>
              <w:pStyle w:val="13"/>
            </w:pPr>
            <w:r>
              <w:t>行政事业单位养老支出</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1119" w:type="dxa"/>
            <w:vAlign w:val="center"/>
          </w:tcPr>
          <w:p>
            <w:pPr>
              <w:pStyle w:val="13"/>
            </w:pPr>
            <w:r>
              <w:t>2080505</w:t>
            </w:r>
          </w:p>
        </w:tc>
        <w:tc>
          <w:tcPr>
            <w:tcW w:w="1432" w:type="dxa"/>
            <w:vAlign w:val="center"/>
          </w:tcPr>
          <w:p>
            <w:pPr>
              <w:pStyle w:val="13"/>
            </w:pPr>
            <w:r>
              <w:t>机关事业单位基本养老保险缴费支出</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r>
              <w:t>14.74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1119" w:type="dxa"/>
            <w:vAlign w:val="center"/>
          </w:tcPr>
          <w:p>
            <w:pPr>
              <w:pStyle w:val="13"/>
            </w:pPr>
            <w:r>
              <w:t>210</w:t>
            </w:r>
          </w:p>
        </w:tc>
        <w:tc>
          <w:tcPr>
            <w:tcW w:w="1432" w:type="dxa"/>
            <w:vAlign w:val="center"/>
          </w:tcPr>
          <w:p>
            <w:pPr>
              <w:pStyle w:val="13"/>
            </w:pPr>
            <w:r>
              <w:t>卫生健康支出</w:t>
            </w:r>
          </w:p>
        </w:tc>
        <w:tc>
          <w:tcPr>
            <w:tcW w:w="1134" w:type="dxa"/>
            <w:vAlign w:val="center"/>
          </w:tcPr>
          <w:p>
            <w:pPr>
              <w:pStyle w:val="12"/>
            </w:pPr>
            <w:r>
              <w:t>6.87</w:t>
            </w:r>
          </w:p>
        </w:tc>
        <w:tc>
          <w:tcPr>
            <w:tcW w:w="1134" w:type="dxa"/>
            <w:vAlign w:val="center"/>
          </w:tcPr>
          <w:p>
            <w:pPr>
              <w:pStyle w:val="12"/>
            </w:pPr>
            <w:r>
              <w:t>6.87</w:t>
            </w:r>
          </w:p>
        </w:tc>
        <w:tc>
          <w:tcPr>
            <w:tcW w:w="1134" w:type="dxa"/>
            <w:vAlign w:val="center"/>
          </w:tcPr>
          <w:p>
            <w:pPr>
              <w:pStyle w:val="12"/>
            </w:pPr>
            <w:r>
              <w:t>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1119" w:type="dxa"/>
            <w:vAlign w:val="center"/>
          </w:tcPr>
          <w:p>
            <w:pPr>
              <w:pStyle w:val="13"/>
            </w:pPr>
            <w:r>
              <w:t>21011</w:t>
            </w:r>
          </w:p>
        </w:tc>
        <w:tc>
          <w:tcPr>
            <w:tcW w:w="1432" w:type="dxa"/>
            <w:vAlign w:val="center"/>
          </w:tcPr>
          <w:p>
            <w:pPr>
              <w:pStyle w:val="13"/>
            </w:pPr>
            <w:r>
              <w:t>行政事业单位医疗</w:t>
            </w:r>
          </w:p>
        </w:tc>
        <w:tc>
          <w:tcPr>
            <w:tcW w:w="1134" w:type="dxa"/>
            <w:vAlign w:val="center"/>
          </w:tcPr>
          <w:p>
            <w:pPr>
              <w:pStyle w:val="12"/>
            </w:pPr>
            <w:r>
              <w:t>6.87</w:t>
            </w:r>
          </w:p>
        </w:tc>
        <w:tc>
          <w:tcPr>
            <w:tcW w:w="1134" w:type="dxa"/>
            <w:vAlign w:val="center"/>
          </w:tcPr>
          <w:p>
            <w:pPr>
              <w:pStyle w:val="12"/>
            </w:pPr>
            <w:r>
              <w:t>6.87</w:t>
            </w:r>
          </w:p>
        </w:tc>
        <w:tc>
          <w:tcPr>
            <w:tcW w:w="1134" w:type="dxa"/>
            <w:vAlign w:val="center"/>
          </w:tcPr>
          <w:p>
            <w:pPr>
              <w:pStyle w:val="12"/>
            </w:pPr>
            <w:r>
              <w:t>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1119" w:type="dxa"/>
            <w:vAlign w:val="center"/>
          </w:tcPr>
          <w:p>
            <w:pPr>
              <w:pStyle w:val="13"/>
            </w:pPr>
            <w:r>
              <w:t>2101101</w:t>
            </w:r>
          </w:p>
        </w:tc>
        <w:tc>
          <w:tcPr>
            <w:tcW w:w="1432" w:type="dxa"/>
            <w:vAlign w:val="center"/>
          </w:tcPr>
          <w:p>
            <w:pPr>
              <w:pStyle w:val="13"/>
            </w:pPr>
            <w:r>
              <w:t>行政单位医疗</w:t>
            </w:r>
          </w:p>
        </w:tc>
        <w:tc>
          <w:tcPr>
            <w:tcW w:w="1134" w:type="dxa"/>
            <w:vAlign w:val="center"/>
          </w:tcPr>
          <w:p>
            <w:pPr>
              <w:pStyle w:val="12"/>
            </w:pPr>
            <w:r>
              <w:t>5.16</w:t>
            </w:r>
          </w:p>
        </w:tc>
        <w:tc>
          <w:tcPr>
            <w:tcW w:w="1134" w:type="dxa"/>
            <w:vAlign w:val="center"/>
          </w:tcPr>
          <w:p>
            <w:pPr>
              <w:pStyle w:val="12"/>
            </w:pPr>
            <w:r>
              <w:t>5.16</w:t>
            </w:r>
          </w:p>
        </w:tc>
        <w:tc>
          <w:tcPr>
            <w:tcW w:w="1134" w:type="dxa"/>
            <w:vAlign w:val="center"/>
          </w:tcPr>
          <w:p>
            <w:pPr>
              <w:pStyle w:val="12"/>
            </w:pPr>
            <w:r>
              <w:t>5.16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1119" w:type="dxa"/>
            <w:vAlign w:val="center"/>
          </w:tcPr>
          <w:p>
            <w:pPr>
              <w:pStyle w:val="13"/>
            </w:pPr>
            <w:r>
              <w:t>2101102</w:t>
            </w:r>
          </w:p>
        </w:tc>
        <w:tc>
          <w:tcPr>
            <w:tcW w:w="1432" w:type="dxa"/>
            <w:vAlign w:val="center"/>
          </w:tcPr>
          <w:p>
            <w:pPr>
              <w:pStyle w:val="13"/>
            </w:pPr>
            <w:r>
              <w:t>事业单位医疗</w:t>
            </w:r>
          </w:p>
        </w:tc>
        <w:tc>
          <w:tcPr>
            <w:tcW w:w="1134" w:type="dxa"/>
            <w:vAlign w:val="center"/>
          </w:tcPr>
          <w:p>
            <w:pPr>
              <w:pStyle w:val="12"/>
            </w:pPr>
            <w:r>
              <w:t>1.71</w:t>
            </w:r>
          </w:p>
        </w:tc>
        <w:tc>
          <w:tcPr>
            <w:tcW w:w="1134" w:type="dxa"/>
            <w:vAlign w:val="center"/>
          </w:tcPr>
          <w:p>
            <w:pPr>
              <w:pStyle w:val="12"/>
            </w:pPr>
            <w:r>
              <w:t>1.71</w:t>
            </w:r>
          </w:p>
        </w:tc>
        <w:tc>
          <w:tcPr>
            <w:tcW w:w="1134" w:type="dxa"/>
            <w:vAlign w:val="center"/>
          </w:tcPr>
          <w:p>
            <w:pPr>
              <w:pStyle w:val="12"/>
            </w:pPr>
            <w:r>
              <w:t>1.71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1119" w:type="dxa"/>
            <w:vAlign w:val="center"/>
          </w:tcPr>
          <w:p>
            <w:pPr>
              <w:pStyle w:val="13"/>
            </w:pPr>
            <w:r>
              <w:t>221</w:t>
            </w:r>
          </w:p>
        </w:tc>
        <w:tc>
          <w:tcPr>
            <w:tcW w:w="1432" w:type="dxa"/>
            <w:vAlign w:val="center"/>
          </w:tcPr>
          <w:p>
            <w:pPr>
              <w:pStyle w:val="13"/>
            </w:pPr>
            <w:r>
              <w:t>住房保障支出</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1119" w:type="dxa"/>
            <w:vAlign w:val="center"/>
          </w:tcPr>
          <w:p>
            <w:pPr>
              <w:pStyle w:val="13"/>
            </w:pPr>
            <w:r>
              <w:t>22102</w:t>
            </w:r>
          </w:p>
        </w:tc>
        <w:tc>
          <w:tcPr>
            <w:tcW w:w="1432" w:type="dxa"/>
            <w:vAlign w:val="center"/>
          </w:tcPr>
          <w:p>
            <w:pPr>
              <w:pStyle w:val="13"/>
            </w:pPr>
            <w:r>
              <w:t>住房改革支出</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1119" w:type="dxa"/>
            <w:vAlign w:val="center"/>
          </w:tcPr>
          <w:p>
            <w:pPr>
              <w:pStyle w:val="13"/>
            </w:pPr>
            <w:r>
              <w:t>2210201</w:t>
            </w:r>
          </w:p>
        </w:tc>
        <w:tc>
          <w:tcPr>
            <w:tcW w:w="1432" w:type="dxa"/>
            <w:vAlign w:val="center"/>
          </w:tcPr>
          <w:p>
            <w:pPr>
              <w:pStyle w:val="13"/>
            </w:pPr>
            <w:r>
              <w:t>住房公积金</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r>
              <w:t>7.37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472"/>
        <w:gridCol w:w="405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472" w:type="dxa"/>
            <w:vAlign w:val="center"/>
          </w:tcPr>
          <w:p>
            <w:pPr>
              <w:pStyle w:val="11"/>
            </w:pPr>
            <w:r>
              <w:t>科目    编码</w:t>
            </w:r>
          </w:p>
        </w:tc>
        <w:tc>
          <w:tcPr>
            <w:tcW w:w="405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472" w:type="dxa"/>
            <w:vAlign w:val="center"/>
          </w:tcPr>
          <w:p>
            <w:pPr>
              <w:pStyle w:val="11"/>
            </w:pPr>
            <w:r>
              <w:t>1</w:t>
            </w:r>
          </w:p>
        </w:tc>
        <w:tc>
          <w:tcPr>
            <w:tcW w:w="405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472" w:type="dxa"/>
            <w:vAlign w:val="center"/>
          </w:tcPr>
          <w:p>
            <w:pPr>
              <w:pStyle w:val="17"/>
            </w:pPr>
          </w:p>
        </w:tc>
        <w:tc>
          <w:tcPr>
            <w:tcW w:w="4055" w:type="dxa"/>
            <w:vAlign w:val="center"/>
          </w:tcPr>
          <w:p>
            <w:pPr>
              <w:pStyle w:val="15"/>
            </w:pPr>
            <w:r>
              <w:t>合计</w:t>
            </w:r>
          </w:p>
        </w:tc>
        <w:tc>
          <w:tcPr>
            <w:tcW w:w="1361" w:type="dxa"/>
            <w:vAlign w:val="center"/>
          </w:tcPr>
          <w:p>
            <w:pPr>
              <w:pStyle w:val="16"/>
            </w:pPr>
            <w:r>
              <w:t>138.58</w:t>
            </w:r>
          </w:p>
        </w:tc>
        <w:tc>
          <w:tcPr>
            <w:tcW w:w="1361" w:type="dxa"/>
            <w:vAlign w:val="center"/>
          </w:tcPr>
          <w:p>
            <w:pPr>
              <w:pStyle w:val="16"/>
            </w:pPr>
            <w:r>
              <w:t>138.58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472" w:type="dxa"/>
            <w:vAlign w:val="center"/>
          </w:tcPr>
          <w:p>
            <w:pPr>
              <w:pStyle w:val="13"/>
            </w:pPr>
            <w:r>
              <w:t>201</w:t>
            </w:r>
          </w:p>
        </w:tc>
        <w:tc>
          <w:tcPr>
            <w:tcW w:w="4055" w:type="dxa"/>
            <w:vAlign w:val="center"/>
          </w:tcPr>
          <w:p>
            <w:pPr>
              <w:pStyle w:val="13"/>
            </w:pPr>
            <w:r>
              <w:t>一般公共服务支出</w:t>
            </w:r>
          </w:p>
        </w:tc>
        <w:tc>
          <w:tcPr>
            <w:tcW w:w="1361" w:type="dxa"/>
            <w:vAlign w:val="center"/>
          </w:tcPr>
          <w:p>
            <w:pPr>
              <w:pStyle w:val="12"/>
            </w:pPr>
            <w:r>
              <w:t>109.60</w:t>
            </w:r>
          </w:p>
        </w:tc>
        <w:tc>
          <w:tcPr>
            <w:tcW w:w="1361" w:type="dxa"/>
            <w:vAlign w:val="center"/>
          </w:tcPr>
          <w:p>
            <w:pPr>
              <w:pStyle w:val="12"/>
            </w:pPr>
            <w:r>
              <w:t>109.60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472" w:type="dxa"/>
            <w:vAlign w:val="center"/>
          </w:tcPr>
          <w:p>
            <w:pPr>
              <w:pStyle w:val="13"/>
            </w:pPr>
            <w:r>
              <w:t>20132</w:t>
            </w:r>
          </w:p>
        </w:tc>
        <w:tc>
          <w:tcPr>
            <w:tcW w:w="4055" w:type="dxa"/>
            <w:vAlign w:val="center"/>
          </w:tcPr>
          <w:p>
            <w:pPr>
              <w:pStyle w:val="13"/>
            </w:pPr>
            <w:r>
              <w:t>组织事务</w:t>
            </w:r>
          </w:p>
        </w:tc>
        <w:tc>
          <w:tcPr>
            <w:tcW w:w="1361" w:type="dxa"/>
            <w:vAlign w:val="center"/>
          </w:tcPr>
          <w:p>
            <w:pPr>
              <w:pStyle w:val="12"/>
            </w:pPr>
            <w:r>
              <w:t>109.60</w:t>
            </w:r>
          </w:p>
        </w:tc>
        <w:tc>
          <w:tcPr>
            <w:tcW w:w="1361" w:type="dxa"/>
            <w:vAlign w:val="center"/>
          </w:tcPr>
          <w:p>
            <w:pPr>
              <w:pStyle w:val="12"/>
            </w:pPr>
            <w:r>
              <w:t>109.60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472" w:type="dxa"/>
            <w:vAlign w:val="center"/>
          </w:tcPr>
          <w:p>
            <w:pPr>
              <w:pStyle w:val="13"/>
            </w:pPr>
            <w:r>
              <w:t>2013201</w:t>
            </w:r>
          </w:p>
        </w:tc>
        <w:tc>
          <w:tcPr>
            <w:tcW w:w="4055" w:type="dxa"/>
            <w:vAlign w:val="center"/>
          </w:tcPr>
          <w:p>
            <w:pPr>
              <w:pStyle w:val="13"/>
            </w:pPr>
            <w:r>
              <w:t>行政运行</w:t>
            </w:r>
          </w:p>
        </w:tc>
        <w:tc>
          <w:tcPr>
            <w:tcW w:w="1361" w:type="dxa"/>
            <w:vAlign w:val="center"/>
          </w:tcPr>
          <w:p>
            <w:pPr>
              <w:pStyle w:val="12"/>
            </w:pPr>
            <w:r>
              <w:t>84.08</w:t>
            </w:r>
          </w:p>
        </w:tc>
        <w:tc>
          <w:tcPr>
            <w:tcW w:w="1361" w:type="dxa"/>
            <w:vAlign w:val="center"/>
          </w:tcPr>
          <w:p>
            <w:pPr>
              <w:pStyle w:val="12"/>
            </w:pPr>
            <w:r>
              <w:t>84.08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472" w:type="dxa"/>
            <w:vAlign w:val="center"/>
          </w:tcPr>
          <w:p>
            <w:pPr>
              <w:pStyle w:val="13"/>
            </w:pPr>
            <w:r>
              <w:t>2013250</w:t>
            </w:r>
          </w:p>
        </w:tc>
        <w:tc>
          <w:tcPr>
            <w:tcW w:w="4055" w:type="dxa"/>
            <w:vAlign w:val="center"/>
          </w:tcPr>
          <w:p>
            <w:pPr>
              <w:pStyle w:val="13"/>
            </w:pPr>
            <w:r>
              <w:t>事业运行</w:t>
            </w:r>
          </w:p>
        </w:tc>
        <w:tc>
          <w:tcPr>
            <w:tcW w:w="1361" w:type="dxa"/>
            <w:vAlign w:val="center"/>
          </w:tcPr>
          <w:p>
            <w:pPr>
              <w:pStyle w:val="12"/>
            </w:pPr>
            <w:r>
              <w:t>25.52</w:t>
            </w:r>
          </w:p>
        </w:tc>
        <w:tc>
          <w:tcPr>
            <w:tcW w:w="1361" w:type="dxa"/>
            <w:vAlign w:val="center"/>
          </w:tcPr>
          <w:p>
            <w:pPr>
              <w:pStyle w:val="12"/>
            </w:pPr>
            <w:r>
              <w:t>25.52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472" w:type="dxa"/>
            <w:vAlign w:val="center"/>
          </w:tcPr>
          <w:p>
            <w:pPr>
              <w:pStyle w:val="13"/>
            </w:pPr>
            <w:r>
              <w:t>208</w:t>
            </w:r>
          </w:p>
        </w:tc>
        <w:tc>
          <w:tcPr>
            <w:tcW w:w="4055" w:type="dxa"/>
            <w:vAlign w:val="center"/>
          </w:tcPr>
          <w:p>
            <w:pPr>
              <w:pStyle w:val="13"/>
            </w:pPr>
            <w:r>
              <w:t>社会保障和就业支出</w:t>
            </w:r>
          </w:p>
        </w:tc>
        <w:tc>
          <w:tcPr>
            <w:tcW w:w="1361" w:type="dxa"/>
            <w:vAlign w:val="center"/>
          </w:tcPr>
          <w:p>
            <w:pPr>
              <w:pStyle w:val="12"/>
            </w:pPr>
            <w:r>
              <w:t>14.74</w:t>
            </w:r>
          </w:p>
        </w:tc>
        <w:tc>
          <w:tcPr>
            <w:tcW w:w="1361" w:type="dxa"/>
            <w:vAlign w:val="center"/>
          </w:tcPr>
          <w:p>
            <w:pPr>
              <w:pStyle w:val="12"/>
            </w:pPr>
            <w:r>
              <w:t>14.74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472" w:type="dxa"/>
            <w:vAlign w:val="center"/>
          </w:tcPr>
          <w:p>
            <w:pPr>
              <w:pStyle w:val="13"/>
            </w:pPr>
            <w:r>
              <w:t>20805</w:t>
            </w:r>
          </w:p>
        </w:tc>
        <w:tc>
          <w:tcPr>
            <w:tcW w:w="4055" w:type="dxa"/>
            <w:vAlign w:val="center"/>
          </w:tcPr>
          <w:p>
            <w:pPr>
              <w:pStyle w:val="13"/>
            </w:pPr>
            <w:r>
              <w:t>行政事业单位养老支出</w:t>
            </w:r>
          </w:p>
        </w:tc>
        <w:tc>
          <w:tcPr>
            <w:tcW w:w="1361" w:type="dxa"/>
            <w:vAlign w:val="center"/>
          </w:tcPr>
          <w:p>
            <w:pPr>
              <w:pStyle w:val="12"/>
            </w:pPr>
            <w:r>
              <w:t>14.74</w:t>
            </w:r>
          </w:p>
        </w:tc>
        <w:tc>
          <w:tcPr>
            <w:tcW w:w="1361" w:type="dxa"/>
            <w:vAlign w:val="center"/>
          </w:tcPr>
          <w:p>
            <w:pPr>
              <w:pStyle w:val="12"/>
            </w:pPr>
            <w:r>
              <w:t>14.74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472" w:type="dxa"/>
            <w:vAlign w:val="center"/>
          </w:tcPr>
          <w:p>
            <w:pPr>
              <w:pStyle w:val="13"/>
            </w:pPr>
            <w:r>
              <w:t>2080505</w:t>
            </w:r>
          </w:p>
        </w:tc>
        <w:tc>
          <w:tcPr>
            <w:tcW w:w="4055" w:type="dxa"/>
            <w:vAlign w:val="center"/>
          </w:tcPr>
          <w:p>
            <w:pPr>
              <w:pStyle w:val="13"/>
            </w:pPr>
            <w:r>
              <w:t>机关事业单位基本养老保险缴费支出</w:t>
            </w:r>
          </w:p>
        </w:tc>
        <w:tc>
          <w:tcPr>
            <w:tcW w:w="1361" w:type="dxa"/>
            <w:vAlign w:val="center"/>
          </w:tcPr>
          <w:p>
            <w:pPr>
              <w:pStyle w:val="12"/>
            </w:pPr>
            <w:r>
              <w:t>14.74</w:t>
            </w:r>
          </w:p>
        </w:tc>
        <w:tc>
          <w:tcPr>
            <w:tcW w:w="1361" w:type="dxa"/>
            <w:vAlign w:val="center"/>
          </w:tcPr>
          <w:p>
            <w:pPr>
              <w:pStyle w:val="12"/>
            </w:pPr>
            <w:r>
              <w:t>14.74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472" w:type="dxa"/>
            <w:vAlign w:val="center"/>
          </w:tcPr>
          <w:p>
            <w:pPr>
              <w:pStyle w:val="13"/>
            </w:pPr>
            <w:r>
              <w:t>210</w:t>
            </w:r>
          </w:p>
        </w:tc>
        <w:tc>
          <w:tcPr>
            <w:tcW w:w="4055" w:type="dxa"/>
            <w:vAlign w:val="center"/>
          </w:tcPr>
          <w:p>
            <w:pPr>
              <w:pStyle w:val="13"/>
            </w:pPr>
            <w:r>
              <w:t>卫生健康支出</w:t>
            </w:r>
          </w:p>
        </w:tc>
        <w:tc>
          <w:tcPr>
            <w:tcW w:w="1361" w:type="dxa"/>
            <w:vAlign w:val="center"/>
          </w:tcPr>
          <w:p>
            <w:pPr>
              <w:pStyle w:val="12"/>
            </w:pPr>
            <w:r>
              <w:t>6.87</w:t>
            </w:r>
          </w:p>
        </w:tc>
        <w:tc>
          <w:tcPr>
            <w:tcW w:w="1361" w:type="dxa"/>
            <w:vAlign w:val="center"/>
          </w:tcPr>
          <w:p>
            <w:pPr>
              <w:pStyle w:val="12"/>
            </w:pPr>
            <w:r>
              <w:t>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472" w:type="dxa"/>
            <w:vAlign w:val="center"/>
          </w:tcPr>
          <w:p>
            <w:pPr>
              <w:pStyle w:val="13"/>
            </w:pPr>
            <w:r>
              <w:t>21011</w:t>
            </w:r>
          </w:p>
        </w:tc>
        <w:tc>
          <w:tcPr>
            <w:tcW w:w="4055" w:type="dxa"/>
            <w:vAlign w:val="center"/>
          </w:tcPr>
          <w:p>
            <w:pPr>
              <w:pStyle w:val="13"/>
            </w:pPr>
            <w:r>
              <w:t>行政事业单位医疗</w:t>
            </w:r>
          </w:p>
        </w:tc>
        <w:tc>
          <w:tcPr>
            <w:tcW w:w="1361" w:type="dxa"/>
            <w:vAlign w:val="center"/>
          </w:tcPr>
          <w:p>
            <w:pPr>
              <w:pStyle w:val="12"/>
            </w:pPr>
            <w:r>
              <w:t>6.87</w:t>
            </w:r>
          </w:p>
        </w:tc>
        <w:tc>
          <w:tcPr>
            <w:tcW w:w="1361" w:type="dxa"/>
            <w:vAlign w:val="center"/>
          </w:tcPr>
          <w:p>
            <w:pPr>
              <w:pStyle w:val="12"/>
            </w:pPr>
            <w:r>
              <w:t>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472" w:type="dxa"/>
            <w:vAlign w:val="center"/>
          </w:tcPr>
          <w:p>
            <w:pPr>
              <w:pStyle w:val="13"/>
            </w:pPr>
            <w:r>
              <w:t>2101101</w:t>
            </w:r>
          </w:p>
        </w:tc>
        <w:tc>
          <w:tcPr>
            <w:tcW w:w="4055" w:type="dxa"/>
            <w:vAlign w:val="center"/>
          </w:tcPr>
          <w:p>
            <w:pPr>
              <w:pStyle w:val="13"/>
            </w:pPr>
            <w:r>
              <w:t>行政单位医疗</w:t>
            </w:r>
          </w:p>
        </w:tc>
        <w:tc>
          <w:tcPr>
            <w:tcW w:w="1361" w:type="dxa"/>
            <w:vAlign w:val="center"/>
          </w:tcPr>
          <w:p>
            <w:pPr>
              <w:pStyle w:val="12"/>
            </w:pPr>
            <w:r>
              <w:t>5.16</w:t>
            </w:r>
          </w:p>
        </w:tc>
        <w:tc>
          <w:tcPr>
            <w:tcW w:w="1361" w:type="dxa"/>
            <w:vAlign w:val="center"/>
          </w:tcPr>
          <w:p>
            <w:pPr>
              <w:pStyle w:val="12"/>
            </w:pPr>
            <w:r>
              <w:t>5.16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472" w:type="dxa"/>
            <w:vAlign w:val="center"/>
          </w:tcPr>
          <w:p>
            <w:pPr>
              <w:pStyle w:val="13"/>
            </w:pPr>
            <w:r>
              <w:t>2101102</w:t>
            </w:r>
          </w:p>
        </w:tc>
        <w:tc>
          <w:tcPr>
            <w:tcW w:w="4055" w:type="dxa"/>
            <w:vAlign w:val="center"/>
          </w:tcPr>
          <w:p>
            <w:pPr>
              <w:pStyle w:val="13"/>
            </w:pPr>
            <w:r>
              <w:t>事业单位医疗</w:t>
            </w:r>
          </w:p>
        </w:tc>
        <w:tc>
          <w:tcPr>
            <w:tcW w:w="1361" w:type="dxa"/>
            <w:vAlign w:val="center"/>
          </w:tcPr>
          <w:p>
            <w:pPr>
              <w:pStyle w:val="12"/>
            </w:pPr>
            <w:r>
              <w:t>1.71</w:t>
            </w:r>
          </w:p>
        </w:tc>
        <w:tc>
          <w:tcPr>
            <w:tcW w:w="1361" w:type="dxa"/>
            <w:vAlign w:val="center"/>
          </w:tcPr>
          <w:p>
            <w:pPr>
              <w:pStyle w:val="12"/>
            </w:pPr>
            <w:r>
              <w:t>1.71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472" w:type="dxa"/>
            <w:vAlign w:val="center"/>
          </w:tcPr>
          <w:p>
            <w:pPr>
              <w:pStyle w:val="13"/>
            </w:pPr>
            <w:r>
              <w:t>221</w:t>
            </w:r>
          </w:p>
        </w:tc>
        <w:tc>
          <w:tcPr>
            <w:tcW w:w="4055" w:type="dxa"/>
            <w:vAlign w:val="center"/>
          </w:tcPr>
          <w:p>
            <w:pPr>
              <w:pStyle w:val="13"/>
            </w:pPr>
            <w:r>
              <w:t>住房保障支出</w:t>
            </w:r>
          </w:p>
        </w:tc>
        <w:tc>
          <w:tcPr>
            <w:tcW w:w="1361" w:type="dxa"/>
            <w:vAlign w:val="center"/>
          </w:tcPr>
          <w:p>
            <w:pPr>
              <w:pStyle w:val="12"/>
            </w:pPr>
            <w:r>
              <w:t>7.37</w:t>
            </w:r>
          </w:p>
        </w:tc>
        <w:tc>
          <w:tcPr>
            <w:tcW w:w="1361" w:type="dxa"/>
            <w:vAlign w:val="center"/>
          </w:tcPr>
          <w:p>
            <w:pPr>
              <w:pStyle w:val="12"/>
            </w:pPr>
            <w:r>
              <w:t>7.37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472" w:type="dxa"/>
            <w:vAlign w:val="center"/>
          </w:tcPr>
          <w:p>
            <w:pPr>
              <w:pStyle w:val="13"/>
            </w:pPr>
            <w:r>
              <w:t>22102</w:t>
            </w:r>
          </w:p>
        </w:tc>
        <w:tc>
          <w:tcPr>
            <w:tcW w:w="4055" w:type="dxa"/>
            <w:vAlign w:val="center"/>
          </w:tcPr>
          <w:p>
            <w:pPr>
              <w:pStyle w:val="13"/>
            </w:pPr>
            <w:r>
              <w:t>住房改革支出</w:t>
            </w:r>
          </w:p>
        </w:tc>
        <w:tc>
          <w:tcPr>
            <w:tcW w:w="1361" w:type="dxa"/>
            <w:vAlign w:val="center"/>
          </w:tcPr>
          <w:p>
            <w:pPr>
              <w:pStyle w:val="12"/>
            </w:pPr>
            <w:r>
              <w:t>7.37</w:t>
            </w:r>
          </w:p>
        </w:tc>
        <w:tc>
          <w:tcPr>
            <w:tcW w:w="1361" w:type="dxa"/>
            <w:vAlign w:val="center"/>
          </w:tcPr>
          <w:p>
            <w:pPr>
              <w:pStyle w:val="12"/>
            </w:pPr>
            <w:r>
              <w:t>7.37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472" w:type="dxa"/>
            <w:vAlign w:val="center"/>
          </w:tcPr>
          <w:p>
            <w:pPr>
              <w:pStyle w:val="13"/>
            </w:pPr>
            <w:r>
              <w:t>2210201</w:t>
            </w:r>
          </w:p>
        </w:tc>
        <w:tc>
          <w:tcPr>
            <w:tcW w:w="4055" w:type="dxa"/>
            <w:vAlign w:val="center"/>
          </w:tcPr>
          <w:p>
            <w:pPr>
              <w:pStyle w:val="13"/>
            </w:pPr>
            <w:r>
              <w:t>住房公积金</w:t>
            </w:r>
          </w:p>
        </w:tc>
        <w:tc>
          <w:tcPr>
            <w:tcW w:w="1361" w:type="dxa"/>
            <w:vAlign w:val="center"/>
          </w:tcPr>
          <w:p>
            <w:pPr>
              <w:pStyle w:val="12"/>
            </w:pPr>
            <w:r>
              <w:t>7.37</w:t>
            </w:r>
          </w:p>
        </w:tc>
        <w:tc>
          <w:tcPr>
            <w:tcW w:w="1361" w:type="dxa"/>
            <w:vAlign w:val="center"/>
          </w:tcPr>
          <w:p>
            <w:pPr>
              <w:pStyle w:val="12"/>
            </w:pPr>
            <w:r>
              <w:t>7.37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138.58</w:t>
            </w:r>
          </w:p>
        </w:tc>
        <w:tc>
          <w:tcPr>
            <w:tcW w:w="3402" w:type="dxa"/>
            <w:vAlign w:val="center"/>
          </w:tcPr>
          <w:p>
            <w:pPr>
              <w:pStyle w:val="13"/>
            </w:pPr>
            <w:r>
              <w:t>一、一般公共服务支出</w:t>
            </w:r>
          </w:p>
        </w:tc>
        <w:tc>
          <w:tcPr>
            <w:tcW w:w="1474" w:type="dxa"/>
            <w:vAlign w:val="center"/>
          </w:tcPr>
          <w:p>
            <w:pPr>
              <w:pStyle w:val="12"/>
            </w:pPr>
            <w:r>
              <w:t>109.60</w:t>
            </w:r>
          </w:p>
        </w:tc>
        <w:tc>
          <w:tcPr>
            <w:tcW w:w="1474" w:type="dxa"/>
            <w:vAlign w:val="center"/>
          </w:tcPr>
          <w:p>
            <w:pPr>
              <w:pStyle w:val="12"/>
            </w:pPr>
            <w:r>
              <w:t>109.60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14.74</w:t>
            </w:r>
          </w:p>
        </w:tc>
        <w:tc>
          <w:tcPr>
            <w:tcW w:w="1474" w:type="dxa"/>
            <w:vAlign w:val="center"/>
          </w:tcPr>
          <w:p>
            <w:pPr>
              <w:pStyle w:val="12"/>
            </w:pPr>
            <w:r>
              <w:t>14.74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6.87</w:t>
            </w:r>
          </w:p>
        </w:tc>
        <w:tc>
          <w:tcPr>
            <w:tcW w:w="1474" w:type="dxa"/>
            <w:vAlign w:val="center"/>
          </w:tcPr>
          <w:p>
            <w:pPr>
              <w:pStyle w:val="12"/>
            </w:pPr>
            <w:r>
              <w:t>6.87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7.37</w:t>
            </w:r>
          </w:p>
        </w:tc>
        <w:tc>
          <w:tcPr>
            <w:tcW w:w="1474" w:type="dxa"/>
            <w:vAlign w:val="center"/>
          </w:tcPr>
          <w:p>
            <w:pPr>
              <w:pStyle w:val="12"/>
            </w:pPr>
            <w:r>
              <w:t>7.37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138.58</w:t>
            </w:r>
          </w:p>
        </w:tc>
        <w:tc>
          <w:tcPr>
            <w:tcW w:w="3402" w:type="dxa"/>
            <w:vAlign w:val="center"/>
          </w:tcPr>
          <w:p>
            <w:pPr>
              <w:pStyle w:val="15"/>
            </w:pPr>
            <w:r>
              <w:t>本年支出合计</w:t>
            </w:r>
          </w:p>
        </w:tc>
        <w:tc>
          <w:tcPr>
            <w:tcW w:w="1474" w:type="dxa"/>
            <w:vAlign w:val="center"/>
          </w:tcPr>
          <w:p>
            <w:pPr>
              <w:pStyle w:val="16"/>
            </w:pPr>
            <w:r>
              <w:t>138.58</w:t>
            </w:r>
          </w:p>
        </w:tc>
        <w:tc>
          <w:tcPr>
            <w:tcW w:w="1474" w:type="dxa"/>
            <w:vAlign w:val="center"/>
          </w:tcPr>
          <w:p>
            <w:pPr>
              <w:pStyle w:val="16"/>
            </w:pPr>
            <w:r>
              <w:t>138.58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138.58</w:t>
            </w:r>
          </w:p>
        </w:tc>
        <w:tc>
          <w:tcPr>
            <w:tcW w:w="3402" w:type="dxa"/>
            <w:vAlign w:val="center"/>
          </w:tcPr>
          <w:p>
            <w:pPr>
              <w:pStyle w:val="15"/>
            </w:pPr>
            <w:r>
              <w:t>支出总计</w:t>
            </w:r>
          </w:p>
        </w:tc>
        <w:tc>
          <w:tcPr>
            <w:tcW w:w="1474" w:type="dxa"/>
            <w:vAlign w:val="center"/>
          </w:tcPr>
          <w:p>
            <w:pPr>
              <w:pStyle w:val="16"/>
            </w:pPr>
            <w:r>
              <w:t>138.58</w:t>
            </w:r>
          </w:p>
        </w:tc>
        <w:tc>
          <w:tcPr>
            <w:tcW w:w="1474" w:type="dxa"/>
            <w:vAlign w:val="center"/>
          </w:tcPr>
          <w:p>
            <w:pPr>
              <w:pStyle w:val="16"/>
            </w:pPr>
            <w:r>
              <w:t>138.58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138.58</w:t>
            </w:r>
          </w:p>
        </w:tc>
        <w:tc>
          <w:tcPr>
            <w:tcW w:w="2551" w:type="dxa"/>
            <w:vAlign w:val="center"/>
          </w:tcPr>
          <w:p>
            <w:pPr>
              <w:pStyle w:val="16"/>
            </w:pPr>
            <w:r>
              <w:t>138.58</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109.60</w:t>
            </w:r>
          </w:p>
        </w:tc>
        <w:tc>
          <w:tcPr>
            <w:tcW w:w="2551" w:type="dxa"/>
            <w:vAlign w:val="center"/>
          </w:tcPr>
          <w:p>
            <w:pPr>
              <w:pStyle w:val="12"/>
            </w:pPr>
            <w:r>
              <w:t>109.60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109.60</w:t>
            </w:r>
          </w:p>
        </w:tc>
        <w:tc>
          <w:tcPr>
            <w:tcW w:w="2551" w:type="dxa"/>
            <w:vAlign w:val="center"/>
          </w:tcPr>
          <w:p>
            <w:pPr>
              <w:pStyle w:val="12"/>
            </w:pPr>
            <w:r>
              <w:t>109.60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84.08</w:t>
            </w:r>
          </w:p>
        </w:tc>
        <w:tc>
          <w:tcPr>
            <w:tcW w:w="2551" w:type="dxa"/>
            <w:vAlign w:val="center"/>
          </w:tcPr>
          <w:p>
            <w:pPr>
              <w:pStyle w:val="12"/>
            </w:pPr>
            <w:r>
              <w:t>84.08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25.52</w:t>
            </w:r>
          </w:p>
        </w:tc>
        <w:tc>
          <w:tcPr>
            <w:tcW w:w="2551" w:type="dxa"/>
            <w:vAlign w:val="center"/>
          </w:tcPr>
          <w:p>
            <w:pPr>
              <w:pStyle w:val="12"/>
            </w:pPr>
            <w:r>
              <w:t>25.52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14.74</w:t>
            </w:r>
          </w:p>
        </w:tc>
        <w:tc>
          <w:tcPr>
            <w:tcW w:w="2551" w:type="dxa"/>
            <w:vAlign w:val="center"/>
          </w:tcPr>
          <w:p>
            <w:pPr>
              <w:pStyle w:val="12"/>
            </w:pPr>
            <w:r>
              <w:t>14.74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14.74</w:t>
            </w:r>
          </w:p>
        </w:tc>
        <w:tc>
          <w:tcPr>
            <w:tcW w:w="2551" w:type="dxa"/>
            <w:vAlign w:val="center"/>
          </w:tcPr>
          <w:p>
            <w:pPr>
              <w:pStyle w:val="12"/>
            </w:pPr>
            <w:r>
              <w:t>14.74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14.74</w:t>
            </w:r>
          </w:p>
        </w:tc>
        <w:tc>
          <w:tcPr>
            <w:tcW w:w="2551" w:type="dxa"/>
            <w:vAlign w:val="center"/>
          </w:tcPr>
          <w:p>
            <w:pPr>
              <w:pStyle w:val="12"/>
            </w:pPr>
            <w:r>
              <w:t>14.74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6.87</w:t>
            </w:r>
          </w:p>
        </w:tc>
        <w:tc>
          <w:tcPr>
            <w:tcW w:w="2551" w:type="dxa"/>
            <w:vAlign w:val="center"/>
          </w:tcPr>
          <w:p>
            <w:pPr>
              <w:pStyle w:val="12"/>
            </w:pPr>
            <w:r>
              <w:t>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6.87</w:t>
            </w:r>
          </w:p>
        </w:tc>
        <w:tc>
          <w:tcPr>
            <w:tcW w:w="2551" w:type="dxa"/>
            <w:vAlign w:val="center"/>
          </w:tcPr>
          <w:p>
            <w:pPr>
              <w:pStyle w:val="12"/>
            </w:pPr>
            <w:r>
              <w:t>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5.16</w:t>
            </w:r>
          </w:p>
        </w:tc>
        <w:tc>
          <w:tcPr>
            <w:tcW w:w="2551" w:type="dxa"/>
            <w:vAlign w:val="center"/>
          </w:tcPr>
          <w:p>
            <w:pPr>
              <w:pStyle w:val="12"/>
            </w:pPr>
            <w:r>
              <w:t>5.16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1.71</w:t>
            </w:r>
          </w:p>
        </w:tc>
        <w:tc>
          <w:tcPr>
            <w:tcW w:w="2551" w:type="dxa"/>
            <w:vAlign w:val="center"/>
          </w:tcPr>
          <w:p>
            <w:pPr>
              <w:pStyle w:val="12"/>
            </w:pPr>
            <w:r>
              <w:t>1.71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7.37</w:t>
            </w:r>
          </w:p>
        </w:tc>
        <w:tc>
          <w:tcPr>
            <w:tcW w:w="2551" w:type="dxa"/>
            <w:vAlign w:val="center"/>
          </w:tcPr>
          <w:p>
            <w:pPr>
              <w:pStyle w:val="12"/>
            </w:pPr>
            <w:r>
              <w:t>7.37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7.37</w:t>
            </w:r>
          </w:p>
        </w:tc>
        <w:tc>
          <w:tcPr>
            <w:tcW w:w="2551" w:type="dxa"/>
            <w:vAlign w:val="center"/>
          </w:tcPr>
          <w:p>
            <w:pPr>
              <w:pStyle w:val="12"/>
            </w:pPr>
            <w:r>
              <w:t>7.37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7.37</w:t>
            </w:r>
          </w:p>
        </w:tc>
        <w:tc>
          <w:tcPr>
            <w:tcW w:w="2551" w:type="dxa"/>
            <w:vAlign w:val="center"/>
          </w:tcPr>
          <w:p>
            <w:pPr>
              <w:pStyle w:val="12"/>
            </w:pPr>
            <w:r>
              <w:t>7.37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138.58</w:t>
            </w:r>
          </w:p>
        </w:tc>
        <w:tc>
          <w:tcPr>
            <w:tcW w:w="2551" w:type="dxa"/>
            <w:vAlign w:val="center"/>
          </w:tcPr>
          <w:p>
            <w:pPr>
              <w:pStyle w:val="16"/>
            </w:pPr>
            <w:r>
              <w:t>129.32</w:t>
            </w:r>
          </w:p>
        </w:tc>
        <w:tc>
          <w:tcPr>
            <w:tcW w:w="2551" w:type="dxa"/>
            <w:vAlign w:val="center"/>
          </w:tcPr>
          <w:p>
            <w:pPr>
              <w:pStyle w:val="16"/>
            </w:pPr>
            <w:r>
              <w:t>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126.81</w:t>
            </w:r>
          </w:p>
        </w:tc>
        <w:tc>
          <w:tcPr>
            <w:tcW w:w="2551" w:type="dxa"/>
            <w:vAlign w:val="center"/>
          </w:tcPr>
          <w:p>
            <w:pPr>
              <w:pStyle w:val="12"/>
            </w:pPr>
            <w:r>
              <w:t>126.81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60.32</w:t>
            </w:r>
          </w:p>
        </w:tc>
        <w:tc>
          <w:tcPr>
            <w:tcW w:w="2551" w:type="dxa"/>
            <w:vAlign w:val="center"/>
          </w:tcPr>
          <w:p>
            <w:pPr>
              <w:pStyle w:val="12"/>
            </w:pPr>
            <w:r>
              <w:t>60.32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19.20</w:t>
            </w:r>
          </w:p>
        </w:tc>
        <w:tc>
          <w:tcPr>
            <w:tcW w:w="2551" w:type="dxa"/>
            <w:vAlign w:val="center"/>
          </w:tcPr>
          <w:p>
            <w:pPr>
              <w:pStyle w:val="12"/>
            </w:pPr>
            <w:r>
              <w:t>19.20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9.99</w:t>
            </w:r>
          </w:p>
        </w:tc>
        <w:tc>
          <w:tcPr>
            <w:tcW w:w="2551" w:type="dxa"/>
            <w:vAlign w:val="center"/>
          </w:tcPr>
          <w:p>
            <w:pPr>
              <w:pStyle w:val="12"/>
            </w:pPr>
            <w:r>
              <w:t>9.99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7.74</w:t>
            </w:r>
          </w:p>
        </w:tc>
        <w:tc>
          <w:tcPr>
            <w:tcW w:w="2551" w:type="dxa"/>
            <w:vAlign w:val="center"/>
          </w:tcPr>
          <w:p>
            <w:pPr>
              <w:pStyle w:val="12"/>
            </w:pPr>
            <w:r>
              <w:t>7.74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14.74</w:t>
            </w:r>
          </w:p>
        </w:tc>
        <w:tc>
          <w:tcPr>
            <w:tcW w:w="2551" w:type="dxa"/>
            <w:vAlign w:val="center"/>
          </w:tcPr>
          <w:p>
            <w:pPr>
              <w:pStyle w:val="12"/>
            </w:pPr>
            <w:r>
              <w:t>14.74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6.87</w:t>
            </w:r>
          </w:p>
        </w:tc>
        <w:tc>
          <w:tcPr>
            <w:tcW w:w="2551" w:type="dxa"/>
            <w:vAlign w:val="center"/>
          </w:tcPr>
          <w:p>
            <w:pPr>
              <w:pStyle w:val="12"/>
            </w:pPr>
            <w:r>
              <w:t>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0.60</w:t>
            </w:r>
          </w:p>
        </w:tc>
        <w:tc>
          <w:tcPr>
            <w:tcW w:w="2551" w:type="dxa"/>
            <w:vAlign w:val="center"/>
          </w:tcPr>
          <w:p>
            <w:pPr>
              <w:pStyle w:val="12"/>
            </w:pPr>
            <w:r>
              <w:t>0.60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7.37</w:t>
            </w:r>
          </w:p>
        </w:tc>
        <w:tc>
          <w:tcPr>
            <w:tcW w:w="2551" w:type="dxa"/>
            <w:vAlign w:val="center"/>
          </w:tcPr>
          <w:p>
            <w:pPr>
              <w:pStyle w:val="12"/>
            </w:pPr>
            <w:r>
              <w:t>7.37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9.26</w:t>
            </w:r>
          </w:p>
        </w:tc>
        <w:tc>
          <w:tcPr>
            <w:tcW w:w="2551" w:type="dxa"/>
            <w:vAlign w:val="center"/>
          </w:tcPr>
          <w:p>
            <w:pPr>
              <w:pStyle w:val="12"/>
            </w:pPr>
          </w:p>
        </w:tc>
        <w:tc>
          <w:tcPr>
            <w:tcW w:w="2551" w:type="dxa"/>
            <w:vAlign w:val="center"/>
          </w:tcPr>
          <w:p>
            <w:pPr>
              <w:pStyle w:val="12"/>
            </w:pPr>
            <w:r>
              <w:t>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6.24</w:t>
            </w:r>
          </w:p>
        </w:tc>
        <w:tc>
          <w:tcPr>
            <w:tcW w:w="2551" w:type="dxa"/>
            <w:vAlign w:val="center"/>
          </w:tcPr>
          <w:p>
            <w:pPr>
              <w:pStyle w:val="12"/>
            </w:pPr>
          </w:p>
        </w:tc>
        <w:tc>
          <w:tcPr>
            <w:tcW w:w="2551" w:type="dxa"/>
            <w:vAlign w:val="center"/>
          </w:tcPr>
          <w:p>
            <w:pPr>
              <w:pStyle w:val="12"/>
            </w:pPr>
            <w:r>
              <w:t>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0.08</w:t>
            </w:r>
          </w:p>
        </w:tc>
        <w:tc>
          <w:tcPr>
            <w:tcW w:w="2551" w:type="dxa"/>
            <w:vAlign w:val="center"/>
          </w:tcPr>
          <w:p>
            <w:pPr>
              <w:pStyle w:val="12"/>
            </w:pPr>
          </w:p>
        </w:tc>
        <w:tc>
          <w:tcPr>
            <w:tcW w:w="2551" w:type="dxa"/>
            <w:vAlign w:val="center"/>
          </w:tcPr>
          <w:p>
            <w:pPr>
              <w:pStyle w:val="12"/>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2.51</w:t>
            </w:r>
          </w:p>
        </w:tc>
        <w:tc>
          <w:tcPr>
            <w:tcW w:w="2551" w:type="dxa"/>
            <w:vAlign w:val="center"/>
          </w:tcPr>
          <w:p>
            <w:pPr>
              <w:pStyle w:val="12"/>
            </w:pPr>
            <w:r>
              <w:t>2.51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2.51</w:t>
            </w:r>
          </w:p>
        </w:tc>
        <w:tc>
          <w:tcPr>
            <w:tcW w:w="2551" w:type="dxa"/>
            <w:vAlign w:val="center"/>
          </w:tcPr>
          <w:p>
            <w:pPr>
              <w:pStyle w:val="12"/>
            </w:pPr>
            <w:r>
              <w:t>2.51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中国共产党昌黎县委员会机构编制委员会办公室2026年部门预算信息公开情况说明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中国共产党昌黎县委员会机构编制委员会办公室2026年部门预算信息公开情况说明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按照《中华人民共和国预算法》、《地方预决算公开操作规程》和《关于进一步推进预算公开工作的实施意见》规定，现将中国共产党昌黎县委员会机构编制委员会办公室2026年部门预算公开如下：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贯彻落实党中央和省、市、县委关于行政管理体制和机构改革以及机构编制管理的政策法规，组织拟订相关政策规定并监督实施。管理和指导全县党政机关，人大、政协、监察委机关，各人民团体机关，以及全县事业单位的机构编制工作。</w:t>
      </w:r>
    </w:p>
    <w:p>
      <w:pPr>
        <w:pStyle w:val="18"/>
      </w:pPr>
      <w:r>
        <w:t>2.组织拟订全县行政管理体制改革和县委、县政府机构改革方案并组织实施。审核各乡镇的行政管理体制和机构改革方案。指导全县行政管理体制和机构改革以及机构编制管理工作。组织、指导、协调综合行政执法体制改革工作。</w:t>
      </w:r>
    </w:p>
    <w:p>
      <w:pPr>
        <w:pStyle w:val="18"/>
      </w:pPr>
      <w:r>
        <w:t>3.协调县委、县政府各部门之间的职能配置及其调整。协调县直各部门之间</w:t>
      </w:r>
      <w:bookmarkStart w:id="20" w:name="_GoBack"/>
      <w:bookmarkEnd w:id="20"/>
      <w:r>
        <w:t>以及县直部门与各乡镇之间的职责分工。</w:t>
      </w:r>
    </w:p>
    <w:p>
      <w:pPr>
        <w:pStyle w:val="18"/>
      </w:pPr>
      <w:r>
        <w:t>4.审核和审批县委、县政府各部门及各乡镇职能配置、机构设置、人员编制和领导职数；审核县人大、县政协、县监察委和县人民团体机关的职能配置、机构设置、人员编制和领导职数；审核县委、县政府派出机构的职能配置、机构设置、人员编制和领导职数。</w:t>
      </w:r>
    </w:p>
    <w:p>
      <w:pPr>
        <w:pStyle w:val="18"/>
      </w:pPr>
      <w:r>
        <w:t>5.按照规定权限和程序审核、申报、审批全县机关和事业单位的机构编制事宜。</w:t>
      </w:r>
    </w:p>
    <w:p>
      <w:pPr>
        <w:pStyle w:val="18"/>
      </w:pPr>
      <w:r>
        <w:t>6.组织拟订全县事业单位管理体制和机构改革方案；负责推进事业单位机构编制标准体系建设；审核或审批县委、县政府直属事业单位和县直部门所属事业单位、各乡镇所属事业单位管理体制改革和机构编制管理工作；负责全县党政群机关统一社会信用代码赋码管理工作；负责全县事业单位法人登记管理和监督检查工作。</w:t>
      </w:r>
    </w:p>
    <w:p>
      <w:pPr>
        <w:pStyle w:val="18"/>
      </w:pPr>
      <w:r>
        <w:t>7.负责开发区(园区)行政管理体制改革工作。组织拟订开发区(园区)机构编制管理办法并组织实施，审核开发区(园区)职能配置、机构设置人员编制和领导职数。</w:t>
      </w:r>
    </w:p>
    <w:p>
      <w:pPr>
        <w:pStyle w:val="18"/>
      </w:pPr>
      <w:r>
        <w:t>8.负责全县机构编制的总量控制和动态管理。负责机构编制实名制管理以及编制使用核准等工作；建立健全机构编制部门与有关部门间的协调配合约束机制。</w:t>
      </w:r>
    </w:p>
    <w:p>
      <w:pPr>
        <w:pStyle w:val="18"/>
      </w:pPr>
      <w:r>
        <w:t>9.负责对全县各级行政、事业单位管理体制和机构改革及机构编制执行情况的跟踪评估和监督检查。负责受理违反机构编制法规、纪律的检举、控告和投诉，对违反机构编制法规、纪律问题进行调查处理。</w:t>
      </w:r>
    </w:p>
    <w:p>
      <w:pPr>
        <w:pStyle w:val="18"/>
      </w:pPr>
      <w:r>
        <w:t>10.负责全县机构编制电子政务和信息化工作。指导全县党政群机关、事业单位和其他非营利性单位网上名称管理工作。负责全县机构编制统计工作。</w:t>
      </w:r>
    </w:p>
    <w:p>
      <w:pPr>
        <w:pStyle w:val="18"/>
      </w:pPr>
      <w:r>
        <w:t xml:space="preserve">11.完成县委、县政府和县委机构编制委员会交办的其他任务。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中国共产党昌黎县委员会机构编制委员会办公室本级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按照预算管理有关规定，目前部门预算的编制实行综合预算管理，即全部收入和支出都反映在预算中。中国共产党昌黎县委员会机构编制委员会办公室机关及所属事业单位的收支包含在部门预算中。</w:t>
      </w:r>
    </w:p>
    <w:p>
      <w:pPr>
        <w:pStyle w:val="19"/>
      </w:pPr>
      <w:r>
        <w:t>1、收入说明</w:t>
      </w:r>
    </w:p>
    <w:p>
      <w:pPr>
        <w:pStyle w:val="19"/>
      </w:pPr>
      <w:r>
        <w:t>反映本部门当年全部收入。2026年预算收入138.58万元，其中：一般公共预算收入138.58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共产党昌黎县委员会机构编制委员会办公室年度部门预算中支出预算的总体情况。2026年支出预算138.58万元，其中基本支出138.58万元，包括人员经费129.32万元和日常公用经费9.26万元；项目支出0.00万元，主要为2026年，我部门无项目预算安排；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138.58万元，较2025年预算减少3.16万元，其中：基本支出减少3.16万元，主要为人员经费减少2万元，公用经费减少1.16万元。项目支出增加0.00万元，主要为2026年，我部门无项目预算安排。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2026年，我部门机关运行经费共计安排9.26万元，主要用于日常维修、办公用房水电费、办公用房取暖费、办公用房物业管理费等日常运行支出。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的要求，我部门未安排“三公”经费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根据省、市要求做好各类改革工作；进一步加强机构编制管理。认真贯彻落实机构编制管理的各项规定，进一步完善机构编制管理的相关制度，严格控制行政机构编制，保持“三定”规定的相对稳定。同时，认真落实机构编制实名制管理，加强机构编制的监督检查，对违反机构编制管理规定的行为，坚决纠正，严肃处理，切实增强机构编制管理的有效性和权威性；提高机关群团及事业单位登记管理服务水平。强化对事业单位法人的事中事后监管，推动事业单位“双随机、一公开”监管规范化、常态化。健全落实事业单位法人失信联合惩戒机制相关制度，强化信息共享和协同监管。结合机构改革，认真做好撤并转事业单位法人登记和涉改机关、群团统一社会信用代码赋码调整完善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（一）做好事业单位登记工作</w:t>
      </w:r>
    </w:p>
    <w:p>
      <w:pPr>
        <w:pStyle w:val="23"/>
      </w:pPr>
      <w:r>
        <w:t>绩效目标：按照《事业单位登记管理暂行条例》及《实施细则》规定，以及网上登记的实际要求，认真做好事业单位登记的受理、审核、通知、复核和档案归档等工作。对网上提交的申请和证明材料进行严格审查，</w:t>
      </w:r>
    </w:p>
    <w:p>
      <w:pPr>
        <w:pStyle w:val="23"/>
      </w:pPr>
      <w:r>
        <w:t>绩效指标：加强完善事业单位登记管理工作，全年完成事业单位变更登记83家，完成事业单位年检235家。</w:t>
      </w:r>
    </w:p>
    <w:p>
      <w:pPr>
        <w:pStyle w:val="23"/>
      </w:pPr>
      <w:r>
        <w:t>（二）强化机构编制审核工作</w:t>
      </w:r>
    </w:p>
    <w:p>
      <w:pPr>
        <w:pStyle w:val="23"/>
      </w:pPr>
      <w:r>
        <w:t>绩效目标：严格落实机关事业单位编制审批制度，强化机构编制实名制平台管理，落实内网数据更新维护机制，及时对全县各类机构、编制和人员变动情况进行审核，更新实名制信息数据，确保系统数据的定期维护与更新。</w:t>
      </w:r>
    </w:p>
    <w:p>
      <w:pPr>
        <w:pStyle w:val="23"/>
      </w:pPr>
      <w:r>
        <w:t>绩效指标：完成37名新招录公务员、14名选调生、8名公费师范生、195名新录用事业单位工作人员的入编工作，为41名机关事业单位工作人员办理调动手续。</w:t>
      </w:r>
    </w:p>
    <w:p>
      <w:pPr>
        <w:pStyle w:val="23"/>
      </w:pPr>
      <w:r>
        <w:t>（三）完成机构编制年统工作</w:t>
      </w:r>
    </w:p>
    <w:p>
      <w:pPr>
        <w:pStyle w:val="23"/>
      </w:pPr>
      <w:r>
        <w:t>绩效目标：为落实省委编办统计年报要求，进一步提升机构编制统计工作水平，开展机构编制年统工作，全面梳理、摸清机构编制底数，对照统计要求，完善数据库中机构、编制、人员等信息。</w:t>
      </w:r>
    </w:p>
    <w:p>
      <w:pPr>
        <w:pStyle w:val="23"/>
      </w:pPr>
      <w:r>
        <w:t>绩效指标：统计行政机构总数为82个，事业单位总数为337个。行政编制总数为1771名，事业编制总数为10272名。</w:t>
      </w:r>
    </w:p>
    <w:p>
      <w:pPr>
        <w:pStyle w:val="23"/>
      </w:pPr>
      <w:r>
        <w:t>（四）健全机构编制工作申报和审批程序</w:t>
      </w:r>
    </w:p>
    <w:p>
      <w:pPr>
        <w:pStyle w:val="23"/>
      </w:pPr>
      <w:r>
        <w:t>绩效目标：坚持党管机构编制原则，围绕加强党对机构编制工作的集中统一领导，不折不扣落实归口管理工作要求，把意识形态工作纳入重要议事日程，列入室务会重要议事事项，进行专门研究，将意识形态工作与编办其他工作有机结合，做到共同部署、共同推进</w:t>
      </w:r>
    </w:p>
    <w:p>
      <w:pPr>
        <w:pStyle w:val="23"/>
      </w:pPr>
      <w:r>
        <w:t>绩效指标：全年共收集整理编委会议题17个，召开县委编委会7次，组织县委编委会全体成员集中学习了市委机构编制委员会2025年工作要点。</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（一）完善制度建设。制定完善预算绩效管理制度、资金管理办法、工作保障制度等内控管理办法，为全年预算绩效目标的实现奠定制度基础。</w:t>
      </w:r>
    </w:p>
    <w:p>
      <w:pPr>
        <w:pStyle w:val="24"/>
      </w:pPr>
      <w:r>
        <w:t>（二）加强支出管理。通过优化支出结构、编细编实预算、尽快启动项目、及时支付资金、按规定及时下达资金等多种措施，确保支出进度达标。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（五）规范财务资产管理。完善财务管理制度，严格审批程序，加强固定资产登记、使用和报废处置管理，做到支出合理，物尽其用。</w:t>
      </w:r>
    </w:p>
    <w:p>
      <w:pPr>
        <w:pStyle w:val="24"/>
      </w:pPr>
      <w:r>
        <w:t>（六）加强内部监督。加强内部监督制度建设，对绩效运行情况、重大支出决策、资产处置及其他重要事项的决策和执行进行督导，配合做好审计、财政监督等外部监督工作，确保财政资金安全有效。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（七）加强宣传培训调研。加强人员培训，提高职工业务素质；优化财政资金配置、提高资金使用效益；强化预算绩效管理意识，促进预算绩效管理水平进一步提升。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中国共产党昌黎县委员会机构编制委员会办公室（含所属单位）上年末固定资产金额为13.50万元（详见下表）。本年度拟购置固定资产总额为0.00万元，已按要求列入政府采购预算，详见政府采购预算表。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225中国共产党昌黎县委员会机构编制委员会办公室</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32</w:t>
            </w:r>
          </w:p>
        </w:tc>
        <w:tc>
          <w:tcPr>
            <w:tcW w:w="2835" w:type="dxa"/>
            <w:vAlign w:val="center"/>
          </w:tcPr>
          <w:p>
            <w:pPr>
              <w:pStyle w:val="12"/>
            </w:pPr>
            <w:r>
              <w:t>13.50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BA32DD"/>
    <w:multiLevelType w:val="singleLevel"/>
    <w:tmpl w:val="E5BA32D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41AC6"/>
    <w:rsid w:val="160845CC"/>
    <w:rsid w:val="283E7BD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1</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dcterms:modified xsi:type="dcterms:W3CDTF">2026-02-05T06:53:31Z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6F7AB01D62E94129ACA8DDA4A9318326</vt:lpwstr>
  </property>
</Properties>
</file>