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819昌黎县新集镇人民政府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2573.44</w:t>
            </w:r>
          </w:p>
        </w:tc>
        <w:tc>
          <w:tcPr>
            <w:tcW w:w="4535" w:type="dxa"/>
            <w:vAlign w:val="center"/>
          </w:tcPr>
          <w:p>
            <w:pPr>
              <w:pStyle w:val="12"/>
            </w:pPr>
            <w:r>
              <w:t>一、一般公共服务支出</w:t>
            </w:r>
          </w:p>
        </w:tc>
        <w:tc>
          <w:tcPr>
            <w:tcW w:w="2126" w:type="dxa"/>
            <w:vAlign w:val="center"/>
          </w:tcPr>
          <w:p>
            <w:pPr>
              <w:pStyle w:val="11"/>
            </w:pPr>
            <w:r>
              <w:t>1313.48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2573.44</w:t>
            </w:r>
          </w:p>
        </w:tc>
        <w:tc>
          <w:tcPr>
            <w:tcW w:w="4535" w:type="dxa"/>
            <w:vAlign w:val="center"/>
          </w:tcPr>
          <w:p>
            <w:pPr>
              <w:pStyle w:val="14"/>
            </w:pPr>
            <w:r>
              <w:t>本年支出合计</w:t>
            </w:r>
          </w:p>
        </w:tc>
        <w:tc>
          <w:tcPr>
            <w:tcW w:w="2126" w:type="dxa"/>
            <w:vAlign w:val="center"/>
          </w:tcPr>
          <w:p>
            <w:pPr>
              <w:pStyle w:val="15"/>
            </w:pPr>
            <w:r>
              <w:t>2573.44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2573.44</w:t>
            </w:r>
          </w:p>
        </w:tc>
        <w:tc>
          <w:tcPr>
            <w:tcW w:w="4535" w:type="dxa"/>
            <w:vAlign w:val="center"/>
          </w:tcPr>
          <w:p>
            <w:pPr>
              <w:pStyle w:val="14"/>
            </w:pPr>
            <w:r>
              <w:t>支出总计</w:t>
            </w:r>
          </w:p>
        </w:tc>
        <w:tc>
          <w:tcPr>
            <w:tcW w:w="2126" w:type="dxa"/>
            <w:vAlign w:val="center"/>
          </w:tcPr>
          <w:p>
            <w:pPr>
              <w:pStyle w:val="15"/>
            </w:pPr>
            <w:r>
              <w:t>2573.44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819昌黎县新集镇人民政府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2573.44</w:t>
            </w:r>
          </w:p>
        </w:tc>
        <w:tc>
          <w:tcPr>
            <w:tcW w:w="1134" w:type="dxa"/>
            <w:vAlign w:val="center"/>
          </w:tcPr>
          <w:p>
            <w:pPr>
              <w:pStyle w:val="15"/>
            </w:pPr>
            <w:r>
              <w:t>2573.44</w:t>
            </w:r>
          </w:p>
        </w:tc>
        <w:tc>
          <w:tcPr>
            <w:tcW w:w="1134" w:type="dxa"/>
            <w:vAlign w:val="center"/>
          </w:tcPr>
          <w:p>
            <w:pPr>
              <w:pStyle w:val="15"/>
            </w:pPr>
            <w:r>
              <w:t>2573.44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1313.48</w:t>
            </w:r>
          </w:p>
        </w:tc>
        <w:tc>
          <w:tcPr>
            <w:tcW w:w="1134" w:type="dxa"/>
            <w:vAlign w:val="center"/>
          </w:tcPr>
          <w:p>
            <w:pPr>
              <w:pStyle w:val="11"/>
            </w:pPr>
            <w:r>
              <w:t>1313.48</w:t>
            </w:r>
          </w:p>
        </w:tc>
        <w:tc>
          <w:tcPr>
            <w:tcW w:w="1134" w:type="dxa"/>
            <w:vAlign w:val="center"/>
          </w:tcPr>
          <w:p>
            <w:pPr>
              <w:pStyle w:val="11"/>
            </w:pPr>
            <w:r>
              <w:t>1313.48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1286.61</w:t>
            </w:r>
          </w:p>
        </w:tc>
        <w:tc>
          <w:tcPr>
            <w:tcW w:w="1134" w:type="dxa"/>
            <w:vAlign w:val="center"/>
          </w:tcPr>
          <w:p>
            <w:pPr>
              <w:pStyle w:val="11"/>
            </w:pPr>
            <w:r>
              <w:t>1286.61</w:t>
            </w:r>
          </w:p>
        </w:tc>
        <w:tc>
          <w:tcPr>
            <w:tcW w:w="1134" w:type="dxa"/>
            <w:vAlign w:val="center"/>
          </w:tcPr>
          <w:p>
            <w:pPr>
              <w:pStyle w:val="11"/>
            </w:pPr>
            <w:r>
              <w:t>1286.61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446.62</w:t>
            </w:r>
          </w:p>
        </w:tc>
        <w:tc>
          <w:tcPr>
            <w:tcW w:w="1134" w:type="dxa"/>
            <w:vAlign w:val="center"/>
          </w:tcPr>
          <w:p>
            <w:pPr>
              <w:pStyle w:val="11"/>
            </w:pPr>
            <w:r>
              <w:t>446.62</w:t>
            </w:r>
          </w:p>
        </w:tc>
        <w:tc>
          <w:tcPr>
            <w:tcW w:w="1134" w:type="dxa"/>
            <w:vAlign w:val="center"/>
          </w:tcPr>
          <w:p>
            <w:pPr>
              <w:pStyle w:val="11"/>
            </w:pPr>
            <w:r>
              <w:t>446.62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837.99</w:t>
            </w:r>
          </w:p>
        </w:tc>
        <w:tc>
          <w:tcPr>
            <w:tcW w:w="1134" w:type="dxa"/>
            <w:vAlign w:val="center"/>
          </w:tcPr>
          <w:p>
            <w:pPr>
              <w:pStyle w:val="11"/>
            </w:pPr>
            <w:r>
              <w:t>837.99</w:t>
            </w:r>
          </w:p>
        </w:tc>
        <w:tc>
          <w:tcPr>
            <w:tcW w:w="1134" w:type="dxa"/>
            <w:vAlign w:val="center"/>
          </w:tcPr>
          <w:p>
            <w:pPr>
              <w:pStyle w:val="11"/>
            </w:pPr>
            <w:r>
              <w:t>837.99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r>
              <w:t>24.87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r>
              <w:t>200.58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155.86</w:t>
            </w:r>
          </w:p>
        </w:tc>
        <w:tc>
          <w:tcPr>
            <w:tcW w:w="1134" w:type="dxa"/>
            <w:vAlign w:val="center"/>
          </w:tcPr>
          <w:p>
            <w:pPr>
              <w:pStyle w:val="11"/>
            </w:pPr>
            <w:r>
              <w:t>155.86</w:t>
            </w:r>
          </w:p>
        </w:tc>
        <w:tc>
          <w:tcPr>
            <w:tcW w:w="1134" w:type="dxa"/>
            <w:vAlign w:val="center"/>
          </w:tcPr>
          <w:p>
            <w:pPr>
              <w:pStyle w:val="11"/>
            </w:pPr>
            <w:r>
              <w:t>155.86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82.50</w:t>
            </w:r>
          </w:p>
        </w:tc>
        <w:tc>
          <w:tcPr>
            <w:tcW w:w="1134" w:type="dxa"/>
            <w:vAlign w:val="center"/>
          </w:tcPr>
          <w:p>
            <w:pPr>
              <w:pStyle w:val="11"/>
            </w:pPr>
            <w:r>
              <w:t>82.50</w:t>
            </w:r>
          </w:p>
        </w:tc>
        <w:tc>
          <w:tcPr>
            <w:tcW w:w="1134" w:type="dxa"/>
            <w:vAlign w:val="center"/>
          </w:tcPr>
          <w:p>
            <w:pPr>
              <w:pStyle w:val="11"/>
            </w:pPr>
            <w:r>
              <w:t>82.50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75.50</w:t>
            </w:r>
          </w:p>
        </w:tc>
        <w:tc>
          <w:tcPr>
            <w:tcW w:w="1134" w:type="dxa"/>
            <w:vAlign w:val="center"/>
          </w:tcPr>
          <w:p>
            <w:pPr>
              <w:pStyle w:val="11"/>
            </w:pPr>
            <w:r>
              <w:t>75.50</w:t>
            </w:r>
          </w:p>
        </w:tc>
        <w:tc>
          <w:tcPr>
            <w:tcW w:w="1134" w:type="dxa"/>
            <w:vAlign w:val="center"/>
          </w:tcPr>
          <w:p>
            <w:pPr>
              <w:pStyle w:val="11"/>
            </w:pPr>
            <w:r>
              <w:t>75.50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r>
              <w:t>92.95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r>
              <w:t>795.70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r>
              <w:t>77.93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2573.44</w:t>
            </w:r>
          </w:p>
        </w:tc>
        <w:tc>
          <w:tcPr>
            <w:tcW w:w="1361" w:type="dxa"/>
            <w:vAlign w:val="center"/>
          </w:tcPr>
          <w:p>
            <w:pPr>
              <w:pStyle w:val="15"/>
            </w:pPr>
            <w:r>
              <w:t>1648.88</w:t>
            </w:r>
          </w:p>
        </w:tc>
        <w:tc>
          <w:tcPr>
            <w:tcW w:w="1361" w:type="dxa"/>
            <w:vAlign w:val="center"/>
          </w:tcPr>
          <w:p>
            <w:pPr>
              <w:pStyle w:val="15"/>
            </w:pPr>
            <w:r>
              <w:t>924.57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1313.48</w:t>
            </w:r>
          </w:p>
        </w:tc>
        <w:tc>
          <w:tcPr>
            <w:tcW w:w="1361" w:type="dxa"/>
            <w:vAlign w:val="center"/>
          </w:tcPr>
          <w:p>
            <w:pPr>
              <w:pStyle w:val="11"/>
            </w:pPr>
            <w:r>
              <w:t>1284.61</w:t>
            </w:r>
          </w:p>
        </w:tc>
        <w:tc>
          <w:tcPr>
            <w:tcW w:w="1361" w:type="dxa"/>
            <w:vAlign w:val="center"/>
          </w:tcPr>
          <w:p>
            <w:pPr>
              <w:pStyle w:val="11"/>
            </w:pPr>
            <w:r>
              <w:t>28.87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1286.61</w:t>
            </w:r>
          </w:p>
        </w:tc>
        <w:tc>
          <w:tcPr>
            <w:tcW w:w="1361" w:type="dxa"/>
            <w:vAlign w:val="center"/>
          </w:tcPr>
          <w:p>
            <w:pPr>
              <w:pStyle w:val="11"/>
            </w:pPr>
            <w:r>
              <w:t>1284.61</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446.62</w:t>
            </w:r>
          </w:p>
        </w:tc>
        <w:tc>
          <w:tcPr>
            <w:tcW w:w="1361" w:type="dxa"/>
            <w:vAlign w:val="center"/>
          </w:tcPr>
          <w:p>
            <w:pPr>
              <w:pStyle w:val="11"/>
            </w:pPr>
            <w:r>
              <w:t>446.62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837.99</w:t>
            </w:r>
          </w:p>
        </w:tc>
        <w:tc>
          <w:tcPr>
            <w:tcW w:w="1361" w:type="dxa"/>
            <w:vAlign w:val="center"/>
          </w:tcPr>
          <w:p>
            <w:pPr>
              <w:pStyle w:val="11"/>
            </w:pPr>
            <w:r>
              <w:t>837.99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r>
              <w:t>24.87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200.58</w:t>
            </w:r>
          </w:p>
        </w:tc>
        <w:tc>
          <w:tcPr>
            <w:tcW w:w="1361" w:type="dxa"/>
            <w:vAlign w:val="center"/>
          </w:tcPr>
          <w:p>
            <w:pPr>
              <w:pStyle w:val="11"/>
            </w:pPr>
            <w:r>
              <w:t>200.58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200.58</w:t>
            </w:r>
          </w:p>
        </w:tc>
        <w:tc>
          <w:tcPr>
            <w:tcW w:w="1361" w:type="dxa"/>
            <w:vAlign w:val="center"/>
          </w:tcPr>
          <w:p>
            <w:pPr>
              <w:pStyle w:val="11"/>
            </w:pPr>
            <w:r>
              <w:t>200.58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155.86</w:t>
            </w:r>
          </w:p>
        </w:tc>
        <w:tc>
          <w:tcPr>
            <w:tcW w:w="1361" w:type="dxa"/>
            <w:vAlign w:val="center"/>
          </w:tcPr>
          <w:p>
            <w:pPr>
              <w:pStyle w:val="11"/>
            </w:pPr>
            <w:r>
              <w:t>155.86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44.72</w:t>
            </w:r>
          </w:p>
        </w:tc>
        <w:tc>
          <w:tcPr>
            <w:tcW w:w="1361" w:type="dxa"/>
            <w:vAlign w:val="center"/>
          </w:tcPr>
          <w:p>
            <w:pPr>
              <w:pStyle w:val="11"/>
            </w:pPr>
            <w:r>
              <w:t>44.72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82.50</w:t>
            </w:r>
          </w:p>
        </w:tc>
        <w:tc>
          <w:tcPr>
            <w:tcW w:w="1361" w:type="dxa"/>
            <w:vAlign w:val="center"/>
          </w:tcPr>
          <w:p>
            <w:pPr>
              <w:pStyle w:val="11"/>
            </w:pPr>
            <w:r>
              <w:t>82.50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7.01</w:t>
            </w:r>
          </w:p>
        </w:tc>
        <w:tc>
          <w:tcPr>
            <w:tcW w:w="1361" w:type="dxa"/>
            <w:vAlign w:val="center"/>
          </w:tcPr>
          <w:p>
            <w:pPr>
              <w:pStyle w:val="11"/>
            </w:pPr>
            <w:r>
              <w:t>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7.01</w:t>
            </w:r>
          </w:p>
        </w:tc>
        <w:tc>
          <w:tcPr>
            <w:tcW w:w="1361" w:type="dxa"/>
            <w:vAlign w:val="center"/>
          </w:tcPr>
          <w:p>
            <w:pPr>
              <w:pStyle w:val="11"/>
            </w:pPr>
            <w:r>
              <w:t>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75.50</w:t>
            </w:r>
          </w:p>
        </w:tc>
        <w:tc>
          <w:tcPr>
            <w:tcW w:w="1361" w:type="dxa"/>
            <w:vAlign w:val="center"/>
          </w:tcPr>
          <w:p>
            <w:pPr>
              <w:pStyle w:val="11"/>
            </w:pPr>
            <w:r>
              <w:t>75.50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18.67</w:t>
            </w:r>
          </w:p>
        </w:tc>
        <w:tc>
          <w:tcPr>
            <w:tcW w:w="1361" w:type="dxa"/>
            <w:vAlign w:val="center"/>
          </w:tcPr>
          <w:p>
            <w:pPr>
              <w:pStyle w:val="11"/>
            </w:pPr>
            <w:r>
              <w:t>18.67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56.82</w:t>
            </w:r>
          </w:p>
        </w:tc>
        <w:tc>
          <w:tcPr>
            <w:tcW w:w="1361" w:type="dxa"/>
            <w:vAlign w:val="center"/>
          </w:tcPr>
          <w:p>
            <w:pPr>
              <w:pStyle w:val="11"/>
            </w:pPr>
            <w:r>
              <w:t>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r>
              <w:t>92.95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r>
              <w:t>795.70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77.93</w:t>
            </w:r>
          </w:p>
        </w:tc>
        <w:tc>
          <w:tcPr>
            <w:tcW w:w="1361" w:type="dxa"/>
            <w:vAlign w:val="center"/>
          </w:tcPr>
          <w:p>
            <w:pPr>
              <w:pStyle w:val="11"/>
            </w:pPr>
            <w:r>
              <w:t>77.93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2573.44</w:t>
            </w:r>
          </w:p>
        </w:tc>
        <w:tc>
          <w:tcPr>
            <w:tcW w:w="3402" w:type="dxa"/>
            <w:vAlign w:val="center"/>
          </w:tcPr>
          <w:p>
            <w:pPr>
              <w:pStyle w:val="12"/>
            </w:pPr>
            <w:r>
              <w:t>一、一般公共服务支出</w:t>
            </w:r>
          </w:p>
        </w:tc>
        <w:tc>
          <w:tcPr>
            <w:tcW w:w="1474" w:type="dxa"/>
            <w:vAlign w:val="center"/>
          </w:tcPr>
          <w:p>
            <w:pPr>
              <w:pStyle w:val="11"/>
            </w:pPr>
            <w:r>
              <w:t>1313.48</w:t>
            </w:r>
          </w:p>
        </w:tc>
        <w:tc>
          <w:tcPr>
            <w:tcW w:w="1474" w:type="dxa"/>
            <w:vAlign w:val="center"/>
          </w:tcPr>
          <w:p>
            <w:pPr>
              <w:pStyle w:val="11"/>
            </w:pPr>
            <w:r>
              <w:t>1313.48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3.25</w:t>
            </w:r>
          </w:p>
        </w:tc>
        <w:tc>
          <w:tcPr>
            <w:tcW w:w="1474" w:type="dxa"/>
            <w:vAlign w:val="center"/>
          </w:tcPr>
          <w:p>
            <w:pPr>
              <w:pStyle w:val="11"/>
            </w:pPr>
            <w:r>
              <w:t>3.25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200.58</w:t>
            </w:r>
          </w:p>
        </w:tc>
        <w:tc>
          <w:tcPr>
            <w:tcW w:w="1474" w:type="dxa"/>
            <w:vAlign w:val="center"/>
          </w:tcPr>
          <w:p>
            <w:pPr>
              <w:pStyle w:val="11"/>
            </w:pPr>
            <w:r>
              <w:t>200.58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82.50</w:t>
            </w:r>
          </w:p>
        </w:tc>
        <w:tc>
          <w:tcPr>
            <w:tcW w:w="1474" w:type="dxa"/>
            <w:vAlign w:val="center"/>
          </w:tcPr>
          <w:p>
            <w:pPr>
              <w:pStyle w:val="11"/>
            </w:pPr>
            <w:r>
              <w:t>82.50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92.95</w:t>
            </w:r>
          </w:p>
        </w:tc>
        <w:tc>
          <w:tcPr>
            <w:tcW w:w="1474" w:type="dxa"/>
            <w:vAlign w:val="center"/>
          </w:tcPr>
          <w:p>
            <w:pPr>
              <w:pStyle w:val="11"/>
            </w:pPr>
            <w:r>
              <w:t>92.95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795.70</w:t>
            </w:r>
          </w:p>
        </w:tc>
        <w:tc>
          <w:tcPr>
            <w:tcW w:w="1474" w:type="dxa"/>
            <w:vAlign w:val="center"/>
          </w:tcPr>
          <w:p>
            <w:pPr>
              <w:pStyle w:val="11"/>
            </w:pPr>
            <w:r>
              <w:t>795.70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2.04</w:t>
            </w:r>
          </w:p>
        </w:tc>
        <w:tc>
          <w:tcPr>
            <w:tcW w:w="1474" w:type="dxa"/>
            <w:vAlign w:val="center"/>
          </w:tcPr>
          <w:p>
            <w:pPr>
              <w:pStyle w:val="11"/>
            </w:pPr>
            <w:r>
              <w:t>2.04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77.93</w:t>
            </w:r>
          </w:p>
        </w:tc>
        <w:tc>
          <w:tcPr>
            <w:tcW w:w="1474" w:type="dxa"/>
            <w:vAlign w:val="center"/>
          </w:tcPr>
          <w:p>
            <w:pPr>
              <w:pStyle w:val="11"/>
            </w:pPr>
            <w:r>
              <w:t>77.93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2573.44</w:t>
            </w:r>
          </w:p>
        </w:tc>
        <w:tc>
          <w:tcPr>
            <w:tcW w:w="3402" w:type="dxa"/>
            <w:vAlign w:val="center"/>
          </w:tcPr>
          <w:p>
            <w:pPr>
              <w:pStyle w:val="14"/>
            </w:pPr>
            <w:r>
              <w:t>本年支出合计</w:t>
            </w:r>
          </w:p>
        </w:tc>
        <w:tc>
          <w:tcPr>
            <w:tcW w:w="1474" w:type="dxa"/>
            <w:vAlign w:val="center"/>
          </w:tcPr>
          <w:p>
            <w:pPr>
              <w:pStyle w:val="15"/>
            </w:pPr>
            <w:r>
              <w:t>2573.44</w:t>
            </w:r>
          </w:p>
        </w:tc>
        <w:tc>
          <w:tcPr>
            <w:tcW w:w="1474" w:type="dxa"/>
            <w:vAlign w:val="center"/>
          </w:tcPr>
          <w:p>
            <w:pPr>
              <w:pStyle w:val="15"/>
            </w:pPr>
            <w:r>
              <w:t>2573.44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2573.44</w:t>
            </w:r>
          </w:p>
        </w:tc>
        <w:tc>
          <w:tcPr>
            <w:tcW w:w="3402" w:type="dxa"/>
            <w:vAlign w:val="center"/>
          </w:tcPr>
          <w:p>
            <w:pPr>
              <w:pStyle w:val="14"/>
            </w:pPr>
            <w:r>
              <w:t>支出总计</w:t>
            </w:r>
          </w:p>
        </w:tc>
        <w:tc>
          <w:tcPr>
            <w:tcW w:w="1474" w:type="dxa"/>
            <w:vAlign w:val="center"/>
          </w:tcPr>
          <w:p>
            <w:pPr>
              <w:pStyle w:val="15"/>
            </w:pPr>
            <w:r>
              <w:t>2573.44</w:t>
            </w:r>
          </w:p>
        </w:tc>
        <w:tc>
          <w:tcPr>
            <w:tcW w:w="1474" w:type="dxa"/>
            <w:vAlign w:val="center"/>
          </w:tcPr>
          <w:p>
            <w:pPr>
              <w:pStyle w:val="15"/>
            </w:pPr>
            <w:r>
              <w:t>2573.44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2573.44</w:t>
            </w:r>
          </w:p>
        </w:tc>
        <w:tc>
          <w:tcPr>
            <w:tcW w:w="2551" w:type="dxa"/>
            <w:vAlign w:val="center"/>
          </w:tcPr>
          <w:p>
            <w:pPr>
              <w:pStyle w:val="15"/>
            </w:pPr>
            <w:r>
              <w:t>1648.88</w:t>
            </w:r>
          </w:p>
        </w:tc>
        <w:tc>
          <w:tcPr>
            <w:tcW w:w="2551" w:type="dxa"/>
            <w:vAlign w:val="center"/>
          </w:tcPr>
          <w:p>
            <w:pPr>
              <w:pStyle w:val="15"/>
            </w:pPr>
            <w:r>
              <w:t>924.57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1313.48</w:t>
            </w:r>
          </w:p>
        </w:tc>
        <w:tc>
          <w:tcPr>
            <w:tcW w:w="2551" w:type="dxa"/>
            <w:vAlign w:val="center"/>
          </w:tcPr>
          <w:p>
            <w:pPr>
              <w:pStyle w:val="11"/>
            </w:pPr>
            <w:r>
              <w:t>1284.61</w:t>
            </w:r>
          </w:p>
        </w:tc>
        <w:tc>
          <w:tcPr>
            <w:tcW w:w="2551" w:type="dxa"/>
            <w:vAlign w:val="center"/>
          </w:tcPr>
          <w:p>
            <w:pPr>
              <w:pStyle w:val="11"/>
            </w:pPr>
            <w:r>
              <w:t>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1286.61</w:t>
            </w:r>
          </w:p>
        </w:tc>
        <w:tc>
          <w:tcPr>
            <w:tcW w:w="2551" w:type="dxa"/>
            <w:vAlign w:val="center"/>
          </w:tcPr>
          <w:p>
            <w:pPr>
              <w:pStyle w:val="11"/>
            </w:pPr>
            <w:r>
              <w:t>1284.61</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446.62</w:t>
            </w:r>
          </w:p>
        </w:tc>
        <w:tc>
          <w:tcPr>
            <w:tcW w:w="2551" w:type="dxa"/>
            <w:vAlign w:val="center"/>
          </w:tcPr>
          <w:p>
            <w:pPr>
              <w:pStyle w:val="11"/>
            </w:pPr>
            <w:r>
              <w:t>446.62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837.99</w:t>
            </w:r>
          </w:p>
        </w:tc>
        <w:tc>
          <w:tcPr>
            <w:tcW w:w="2551" w:type="dxa"/>
            <w:vAlign w:val="center"/>
          </w:tcPr>
          <w:p>
            <w:pPr>
              <w:pStyle w:val="11"/>
            </w:pPr>
            <w:r>
              <w:t>837.99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24.87</w:t>
            </w:r>
          </w:p>
        </w:tc>
        <w:tc>
          <w:tcPr>
            <w:tcW w:w="2551" w:type="dxa"/>
            <w:vAlign w:val="center"/>
          </w:tcPr>
          <w:p>
            <w:pPr>
              <w:pStyle w:val="11"/>
            </w:pPr>
          </w:p>
        </w:tc>
        <w:tc>
          <w:tcPr>
            <w:tcW w:w="2551" w:type="dxa"/>
            <w:vAlign w:val="center"/>
          </w:tcPr>
          <w:p>
            <w:pPr>
              <w:pStyle w:val="11"/>
            </w:pPr>
            <w:r>
              <w:t>24.87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24.87</w:t>
            </w:r>
          </w:p>
        </w:tc>
        <w:tc>
          <w:tcPr>
            <w:tcW w:w="2551" w:type="dxa"/>
            <w:vAlign w:val="center"/>
          </w:tcPr>
          <w:p>
            <w:pPr>
              <w:pStyle w:val="11"/>
            </w:pPr>
          </w:p>
        </w:tc>
        <w:tc>
          <w:tcPr>
            <w:tcW w:w="2551" w:type="dxa"/>
            <w:vAlign w:val="center"/>
          </w:tcPr>
          <w:p>
            <w:pPr>
              <w:pStyle w:val="11"/>
            </w:pPr>
            <w:r>
              <w:t>24.87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200.58</w:t>
            </w:r>
          </w:p>
        </w:tc>
        <w:tc>
          <w:tcPr>
            <w:tcW w:w="2551" w:type="dxa"/>
            <w:vAlign w:val="center"/>
          </w:tcPr>
          <w:p>
            <w:pPr>
              <w:pStyle w:val="11"/>
            </w:pPr>
            <w:r>
              <w:t>200.58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200.58</w:t>
            </w:r>
          </w:p>
        </w:tc>
        <w:tc>
          <w:tcPr>
            <w:tcW w:w="2551" w:type="dxa"/>
            <w:vAlign w:val="center"/>
          </w:tcPr>
          <w:p>
            <w:pPr>
              <w:pStyle w:val="11"/>
            </w:pPr>
            <w:r>
              <w:t>200.58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155.86</w:t>
            </w:r>
          </w:p>
        </w:tc>
        <w:tc>
          <w:tcPr>
            <w:tcW w:w="2551" w:type="dxa"/>
            <w:vAlign w:val="center"/>
          </w:tcPr>
          <w:p>
            <w:pPr>
              <w:pStyle w:val="11"/>
            </w:pPr>
            <w:r>
              <w:t>155.86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82.50</w:t>
            </w:r>
          </w:p>
        </w:tc>
        <w:tc>
          <w:tcPr>
            <w:tcW w:w="2551" w:type="dxa"/>
            <w:vAlign w:val="center"/>
          </w:tcPr>
          <w:p>
            <w:pPr>
              <w:pStyle w:val="11"/>
            </w:pPr>
            <w:r>
              <w:t>82.50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75.50</w:t>
            </w:r>
          </w:p>
        </w:tc>
        <w:tc>
          <w:tcPr>
            <w:tcW w:w="2551" w:type="dxa"/>
            <w:vAlign w:val="center"/>
          </w:tcPr>
          <w:p>
            <w:pPr>
              <w:pStyle w:val="11"/>
            </w:pPr>
            <w:r>
              <w:t>75.50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18.67</w:t>
            </w:r>
          </w:p>
        </w:tc>
        <w:tc>
          <w:tcPr>
            <w:tcW w:w="2551" w:type="dxa"/>
            <w:vAlign w:val="center"/>
          </w:tcPr>
          <w:p>
            <w:pPr>
              <w:pStyle w:val="11"/>
            </w:pPr>
            <w:r>
              <w:t>18.67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56.82</w:t>
            </w:r>
          </w:p>
        </w:tc>
        <w:tc>
          <w:tcPr>
            <w:tcW w:w="2551" w:type="dxa"/>
            <w:vAlign w:val="center"/>
          </w:tcPr>
          <w:p>
            <w:pPr>
              <w:pStyle w:val="11"/>
            </w:pPr>
            <w:r>
              <w:t>56.82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92.95</w:t>
            </w:r>
          </w:p>
        </w:tc>
        <w:tc>
          <w:tcPr>
            <w:tcW w:w="2551" w:type="dxa"/>
            <w:vAlign w:val="center"/>
          </w:tcPr>
          <w:p>
            <w:pPr>
              <w:pStyle w:val="11"/>
            </w:pPr>
          </w:p>
        </w:tc>
        <w:tc>
          <w:tcPr>
            <w:tcW w:w="2551" w:type="dxa"/>
            <w:vAlign w:val="center"/>
          </w:tcPr>
          <w:p>
            <w:pPr>
              <w:pStyle w:val="11"/>
            </w:pPr>
            <w:r>
              <w:t>92.95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795.70</w:t>
            </w:r>
          </w:p>
        </w:tc>
        <w:tc>
          <w:tcPr>
            <w:tcW w:w="2551" w:type="dxa"/>
            <w:vAlign w:val="center"/>
          </w:tcPr>
          <w:p>
            <w:pPr>
              <w:pStyle w:val="11"/>
            </w:pPr>
          </w:p>
        </w:tc>
        <w:tc>
          <w:tcPr>
            <w:tcW w:w="2551" w:type="dxa"/>
            <w:vAlign w:val="center"/>
          </w:tcPr>
          <w:p>
            <w:pPr>
              <w:pStyle w:val="11"/>
            </w:pPr>
            <w:r>
              <w:t>795.70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1648.88</w:t>
            </w:r>
          </w:p>
        </w:tc>
        <w:tc>
          <w:tcPr>
            <w:tcW w:w="2551" w:type="dxa"/>
            <w:vAlign w:val="center"/>
          </w:tcPr>
          <w:p>
            <w:pPr>
              <w:pStyle w:val="15"/>
            </w:pPr>
            <w:r>
              <w:t>1571.33</w:t>
            </w:r>
          </w:p>
        </w:tc>
        <w:tc>
          <w:tcPr>
            <w:tcW w:w="2551" w:type="dxa"/>
            <w:vAlign w:val="center"/>
          </w:tcPr>
          <w:p>
            <w:pPr>
              <w:pStyle w:val="15"/>
            </w:pPr>
            <w:r>
              <w:t>77.55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1462.91</w:t>
            </w:r>
          </w:p>
        </w:tc>
        <w:tc>
          <w:tcPr>
            <w:tcW w:w="2551" w:type="dxa"/>
            <w:vAlign w:val="center"/>
          </w:tcPr>
          <w:p>
            <w:pPr>
              <w:pStyle w:val="11"/>
            </w:pPr>
            <w:r>
              <w:t>1462.91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599.75</w:t>
            </w:r>
          </w:p>
        </w:tc>
        <w:tc>
          <w:tcPr>
            <w:tcW w:w="2551" w:type="dxa"/>
            <w:vAlign w:val="center"/>
          </w:tcPr>
          <w:p>
            <w:pPr>
              <w:pStyle w:val="11"/>
            </w:pPr>
            <w:r>
              <w:t>599.75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203.06</w:t>
            </w:r>
          </w:p>
        </w:tc>
        <w:tc>
          <w:tcPr>
            <w:tcW w:w="2551" w:type="dxa"/>
            <w:vAlign w:val="center"/>
          </w:tcPr>
          <w:p>
            <w:pPr>
              <w:pStyle w:val="11"/>
            </w:pPr>
            <w:r>
              <w:t>203.06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31.61</w:t>
            </w:r>
          </w:p>
        </w:tc>
        <w:tc>
          <w:tcPr>
            <w:tcW w:w="2551" w:type="dxa"/>
            <w:vAlign w:val="center"/>
          </w:tcPr>
          <w:p>
            <w:pPr>
              <w:pStyle w:val="11"/>
            </w:pPr>
            <w:r>
              <w:t>31.61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243.64</w:t>
            </w:r>
          </w:p>
        </w:tc>
        <w:tc>
          <w:tcPr>
            <w:tcW w:w="2551" w:type="dxa"/>
            <w:vAlign w:val="center"/>
          </w:tcPr>
          <w:p>
            <w:pPr>
              <w:pStyle w:val="11"/>
            </w:pPr>
            <w:r>
              <w:t>243.64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155.86</w:t>
            </w:r>
          </w:p>
        </w:tc>
        <w:tc>
          <w:tcPr>
            <w:tcW w:w="2551" w:type="dxa"/>
            <w:vAlign w:val="center"/>
          </w:tcPr>
          <w:p>
            <w:pPr>
              <w:pStyle w:val="11"/>
            </w:pPr>
            <w:r>
              <w:t>155.86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75.50</w:t>
            </w:r>
          </w:p>
        </w:tc>
        <w:tc>
          <w:tcPr>
            <w:tcW w:w="2551" w:type="dxa"/>
            <w:vAlign w:val="center"/>
          </w:tcPr>
          <w:p>
            <w:pPr>
              <w:pStyle w:val="11"/>
            </w:pPr>
            <w:r>
              <w:t>75.50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77.93</w:t>
            </w:r>
          </w:p>
        </w:tc>
        <w:tc>
          <w:tcPr>
            <w:tcW w:w="2551" w:type="dxa"/>
            <w:vAlign w:val="center"/>
          </w:tcPr>
          <w:p>
            <w:pPr>
              <w:pStyle w:val="11"/>
            </w:pPr>
            <w:r>
              <w:t>77.93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21.71</w:t>
            </w:r>
          </w:p>
        </w:tc>
        <w:tc>
          <w:tcPr>
            <w:tcW w:w="2551" w:type="dxa"/>
            <w:vAlign w:val="center"/>
          </w:tcPr>
          <w:p>
            <w:pPr>
              <w:pStyle w:val="11"/>
            </w:pPr>
            <w:r>
              <w:t>21.71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77.55</w:t>
            </w:r>
          </w:p>
        </w:tc>
        <w:tc>
          <w:tcPr>
            <w:tcW w:w="2551" w:type="dxa"/>
            <w:vAlign w:val="center"/>
          </w:tcPr>
          <w:p>
            <w:pPr>
              <w:pStyle w:val="11"/>
            </w:pPr>
          </w:p>
        </w:tc>
        <w:tc>
          <w:tcPr>
            <w:tcW w:w="2551" w:type="dxa"/>
            <w:vAlign w:val="center"/>
          </w:tcPr>
          <w:p>
            <w:pPr>
              <w:pStyle w:val="11"/>
            </w:pPr>
            <w:r>
              <w:t>77.55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9.17</w:t>
            </w:r>
          </w:p>
        </w:tc>
        <w:tc>
          <w:tcPr>
            <w:tcW w:w="2551" w:type="dxa"/>
            <w:vAlign w:val="center"/>
          </w:tcPr>
          <w:p>
            <w:pPr>
              <w:pStyle w:val="11"/>
            </w:pPr>
          </w:p>
        </w:tc>
        <w:tc>
          <w:tcPr>
            <w:tcW w:w="2551" w:type="dxa"/>
            <w:vAlign w:val="center"/>
          </w:tcPr>
          <w:p>
            <w:pPr>
              <w:pStyle w:val="11"/>
            </w:pPr>
            <w:r>
              <w:t>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3.42</w:t>
            </w:r>
          </w:p>
        </w:tc>
        <w:tc>
          <w:tcPr>
            <w:tcW w:w="2551" w:type="dxa"/>
            <w:vAlign w:val="center"/>
          </w:tcPr>
          <w:p>
            <w:pPr>
              <w:pStyle w:val="11"/>
            </w:pPr>
          </w:p>
        </w:tc>
        <w:tc>
          <w:tcPr>
            <w:tcW w:w="2551" w:type="dxa"/>
            <w:vAlign w:val="center"/>
          </w:tcPr>
          <w:p>
            <w:pPr>
              <w:pStyle w:val="11"/>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27.90</w:t>
            </w:r>
          </w:p>
        </w:tc>
        <w:tc>
          <w:tcPr>
            <w:tcW w:w="2551" w:type="dxa"/>
            <w:vAlign w:val="center"/>
          </w:tcPr>
          <w:p>
            <w:pPr>
              <w:pStyle w:val="11"/>
            </w:pPr>
          </w:p>
        </w:tc>
        <w:tc>
          <w:tcPr>
            <w:tcW w:w="2551" w:type="dxa"/>
            <w:vAlign w:val="center"/>
          </w:tcPr>
          <w:p>
            <w:pPr>
              <w:pStyle w:val="11"/>
            </w:pPr>
            <w:r>
              <w:t>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2.48</w:t>
            </w:r>
          </w:p>
        </w:tc>
        <w:tc>
          <w:tcPr>
            <w:tcW w:w="2551" w:type="dxa"/>
            <w:vAlign w:val="center"/>
          </w:tcPr>
          <w:p>
            <w:pPr>
              <w:pStyle w:val="11"/>
            </w:pPr>
          </w:p>
        </w:tc>
        <w:tc>
          <w:tcPr>
            <w:tcW w:w="2551" w:type="dxa"/>
            <w:vAlign w:val="center"/>
          </w:tcPr>
          <w:p>
            <w:pPr>
              <w:pStyle w:val="11"/>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108.42</w:t>
            </w:r>
          </w:p>
        </w:tc>
        <w:tc>
          <w:tcPr>
            <w:tcW w:w="2551" w:type="dxa"/>
            <w:vAlign w:val="center"/>
          </w:tcPr>
          <w:p>
            <w:pPr>
              <w:pStyle w:val="11"/>
            </w:pPr>
            <w:r>
              <w:t>108.42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79.77</w:t>
            </w:r>
          </w:p>
        </w:tc>
        <w:tc>
          <w:tcPr>
            <w:tcW w:w="2551" w:type="dxa"/>
            <w:vAlign w:val="center"/>
          </w:tcPr>
          <w:p>
            <w:pPr>
              <w:pStyle w:val="11"/>
            </w:pPr>
            <w:r>
              <w:t>79.77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18.15</w:t>
            </w:r>
          </w:p>
        </w:tc>
        <w:tc>
          <w:tcPr>
            <w:tcW w:w="2551" w:type="dxa"/>
            <w:vAlign w:val="center"/>
          </w:tcPr>
          <w:p>
            <w:pPr>
              <w:pStyle w:val="11"/>
            </w:pPr>
            <w:r>
              <w:t>18.15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819昌黎县新集镇人民政府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3.42</w:t>
            </w:r>
          </w:p>
        </w:tc>
        <w:tc>
          <w:tcPr>
            <w:tcW w:w="2381" w:type="dxa"/>
            <w:vAlign w:val="center"/>
          </w:tcPr>
          <w:p>
            <w:pPr>
              <w:pStyle w:val="15"/>
            </w:pPr>
            <w:r>
              <w:t>3.42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3.42</w:t>
            </w:r>
          </w:p>
        </w:tc>
        <w:tc>
          <w:tcPr>
            <w:tcW w:w="2381" w:type="dxa"/>
            <w:vAlign w:val="center"/>
          </w:tcPr>
          <w:p>
            <w:pPr>
              <w:pStyle w:val="11"/>
            </w:pPr>
            <w:r>
              <w:t>3.42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昌黎县新集镇人民政府2026年部门预算信息公开情况说明</w:t>
      </w:r>
    </w:p>
    <w:p>
      <w:pPr>
        <w:jc w:val="center"/>
      </w:pPr>
      <w:r>
        <w:rPr>
          <w:rFonts w:ascii="方正小标宋_GBK" w:hAnsi="方正小标宋_GBK" w:eastAsia="方正小标宋_GBK" w:cs="方正小标宋_GBK"/>
          <w:color w:val="000000"/>
          <w:sz w:val="44"/>
        </w:rPr>
        <w:t>昌黎县新集镇人民政府2026年部门预算信息公开情况说明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按照《中华人民共和国预算法》、《地方预决算公开操作规程》和《关于进一步推进预算公开工作的实施意见》规定，现将昌黎县新集镇人民政府2026年部门预算公开如下：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hint="eastAsia" w:ascii="方正楷体_GBK" w:hAnsi="方正楷体_GBK" w:cs="方正楷体_GBK"/>
          <w:b/>
          <w:color w:val="000000"/>
          <w:sz w:val="32"/>
          <w:lang w:eastAsia="zh-CN"/>
        </w:rPr>
      </w:pPr>
      <w:r>
        <w:rPr>
          <w:rFonts w:ascii="方正楷体_GBK" w:hAnsi="方正楷体_GBK" w:eastAsia="方正楷体_GBK" w:cs="方正楷体_GBK"/>
          <w:b/>
          <w:color w:val="000000"/>
          <w:sz w:val="32"/>
        </w:rPr>
        <w:t>部门职责：</w:t>
      </w:r>
    </w:p>
    <w:p>
      <w:pPr>
        <w:pStyle w:val="17"/>
        <w:rPr>
          <w:rFonts w:hint="eastAsia"/>
        </w:rPr>
      </w:pPr>
      <w:r>
        <w:rPr>
          <w:rFonts w:hint="eastAsia" w:eastAsiaTheme="minorEastAsia"/>
          <w:lang w:eastAsia="zh-CN"/>
        </w:rPr>
        <w:t>内容涉密，不予公开。</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昌黎县新集镇人民政府本级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按照预算管理有关规定，目前部门预算的编制实行综合预算管理，即全部收入和支出都反映在预算中。昌黎县新集镇人民政府机关及所属事业单位的收支包含在部门预算中。</w:t>
      </w:r>
    </w:p>
    <w:p>
      <w:pPr>
        <w:pStyle w:val="18"/>
      </w:pPr>
      <w:r>
        <w:t>1、收入说明</w:t>
      </w:r>
    </w:p>
    <w:p>
      <w:pPr>
        <w:pStyle w:val="18"/>
      </w:pPr>
      <w:r>
        <w:t>反映本部门当年全部收入。2026年预算收入2573.44万元，其中：一般公共预算收入2573.44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新集镇人民政府年度部门预算中支出预算的总体情况。2026年支出预算2573.44万元，其中基本支出1648.88万元，包括人员经费1571.33万元和日常公用经费77.55万元；项目支出924.57万元，主要为村级组织运转经费、信访事务、农村综合改革等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2573.44万元，较2025年预算增加239.87万元，其中：基本支出增加125.85万元，主要为2026年人员支出增加，2026年较2025年增加7名事业人员和2名行政人员。项目支出增加114.02万元，主要为村级组织运转经费中村干部补贴支出增加。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2026年，我部门机关运行经费共计安排77.55万元，主要用于日常维修、办公用房水电费、办公用房取暖费、办公用房物业管理费等日常运行支出。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3.42万元，其中因公出国（境）费0.00万元；公务用车购置及运维费3.42万元（其中：公务用车购置费为0.00万元，公务用车运维费3.42万元)；公务接待费0.00万元。与2025年相比减少0.18万元，增减变化的主要原因是2026年我部门严格控制公车使用，减少公务用车运行维护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2026年，新集镇深入贯彻落实党的二十大精神，结合“不忘初心</w:t>
      </w:r>
      <w:r>
        <w:rPr>
          <w:rFonts w:hint="eastAsia"/>
          <w:lang w:eastAsia="zh-CN"/>
        </w:rPr>
        <w:t>、</w:t>
      </w:r>
      <w:r>
        <w:t>牢记使命”主题教育契机，用习近平新时代中国特色社会主义思想武装头脑，坚持新发展理念，加快乡村振兴步伐，努力实现综合经济实力、改革创新动力、生态环境质量、社会文明程度、人民生活水平五个方面明显提升。要实现以下发展目标：</w:t>
      </w:r>
    </w:p>
    <w:p>
      <w:pPr>
        <w:pStyle w:val="21"/>
      </w:pPr>
      <w:r>
        <w:t>（一）以乡村振兴构建社会和谐扎实推进乡村振兴，巩固发展农业农村好形势, 壮大蔬菜、果品、畜牧等优势特色产业。</w:t>
      </w:r>
    </w:p>
    <w:p>
      <w:pPr>
        <w:pStyle w:val="21"/>
      </w:pPr>
      <w:r>
        <w:t>（二）推动农业经营体系创新，抓好农民合作社、家庭农场等农村新型经营主体建设；加强农田水利建设和基本农田保护，增加农产品有效供给。</w:t>
      </w:r>
    </w:p>
    <w:p>
      <w:pPr>
        <w:pStyle w:val="21"/>
      </w:pPr>
      <w:r>
        <w:t>（三）发展休闲农业、乡村旅游等新产业新业态；改善农村人居环境，突出抓好垃圾污水治理、厕所革命、村容村貌提升，全面推进生态修复，大力促进经济生态协调发展；加强农村公共服务和社会事业建设。</w:t>
      </w:r>
    </w:p>
    <w:p>
      <w:pPr>
        <w:pStyle w:val="21"/>
      </w:pPr>
      <w:r>
        <w:t>（四）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得更加坚强有力。</w:t>
      </w:r>
    </w:p>
    <w:p>
      <w:pPr>
        <w:pStyle w:val="21"/>
      </w:pPr>
      <w:r>
        <w:t>（五）居民收入大幅增加，消费水平提高，物质生活和精神生活都要得到满足，增强幸福感。我镇是农业大镇，马铃薯、旱黄瓜和油桃等蔬菜水果是特色产业。2026年要做好引导工作和各种基础设施建设，财力投入比上年度增加5%，在原基础上实现高品质、高质量的发展，使镇域居民实现增产增收达到10%。</w:t>
      </w:r>
    </w:p>
    <w:p>
      <w:pPr>
        <w:spacing w:line="500" w:lineRule="exact"/>
        <w:ind w:firstLine="560"/>
      </w:pPr>
      <w:r>
        <w:rPr>
          <w:rFonts w:eastAsia="方正仿宋_GBK"/>
          <w:color w:val="000000"/>
          <w:sz w:val="28"/>
        </w:rPr>
        <w:t>（二）分项绩效目标</w:t>
      </w:r>
    </w:p>
    <w:p>
      <w:pPr>
        <w:pStyle w:val="22"/>
      </w:pPr>
      <w:r>
        <w:t>为了实现新集镇2026年总体规划目标，现制定以下五个方面的部门职责分类绩效目标及绩效指标。</w:t>
      </w:r>
    </w:p>
    <w:p>
      <w:pPr>
        <w:pStyle w:val="22"/>
      </w:pPr>
      <w:r>
        <w:t>（一）机关事务运行。</w:t>
      </w:r>
    </w:p>
    <w:p>
      <w:pPr>
        <w:pStyle w:val="22"/>
      </w:pPr>
      <w:r>
        <w:t>党委、人大、政府公文运转、保密机要、会议和活动组织安排、公务用车管、食堂、后勤综合管理等。负责办公室日常工作，主要是公章管理；公文、档案管理；办公采购、机关食堂的后勤保障。</w:t>
      </w:r>
    </w:p>
    <w:p>
      <w:pPr>
        <w:pStyle w:val="22"/>
      </w:pPr>
      <w:r>
        <w:t xml:space="preserve">绩效目标：确保机关正常运行，效率高，无差错。 </w:t>
      </w:r>
    </w:p>
    <w:p>
      <w:pPr>
        <w:pStyle w:val="22"/>
      </w:pPr>
      <w:r>
        <w:t>绩效指标：日常公文、公章、档案管理的规范化率；办公采购、后勤保障资金利用率在90%以上。</w:t>
      </w:r>
    </w:p>
    <w:p>
      <w:pPr>
        <w:pStyle w:val="22"/>
      </w:pPr>
      <w:r>
        <w:t>（二）促进经济发展。</w:t>
      </w:r>
    </w:p>
    <w:p>
      <w:pPr>
        <w:pStyle w:val="22"/>
      </w:pPr>
      <w:r>
        <w:t>1、科学制定产业发展计划。</w:t>
      </w:r>
    </w:p>
    <w:p>
      <w:pPr>
        <w:pStyle w:val="22"/>
      </w:pPr>
      <w:r>
        <w:t>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2"/>
      </w:pPr>
      <w:r>
        <w:t>绩效目标：提高自我发展能力,完成全镇年度数据的测算审核认定工作；完成必要分析，对相关经济决策提供重要依据。</w:t>
      </w:r>
    </w:p>
    <w:p>
      <w:pPr>
        <w:pStyle w:val="22"/>
      </w:pPr>
      <w:r>
        <w:t>绩效指标：全镇GDP增长10%以上。</w:t>
      </w:r>
    </w:p>
    <w:p>
      <w:pPr>
        <w:pStyle w:val="22"/>
      </w:pPr>
      <w:r>
        <w:t>2、招商引资。</w:t>
      </w:r>
    </w:p>
    <w:p>
      <w:pPr>
        <w:pStyle w:val="22"/>
      </w:pPr>
      <w:r>
        <w:t>营造良好的政策，社会等投资环境，促进招商引资和项目建设。</w:t>
      </w:r>
    </w:p>
    <w:p>
      <w:pPr>
        <w:pStyle w:val="22"/>
      </w:pPr>
      <w:r>
        <w:t>绩效目标：加大力度，形成地域产业特色，提高镇域收入。</w:t>
      </w:r>
    </w:p>
    <w:p>
      <w:pPr>
        <w:pStyle w:val="22"/>
      </w:pPr>
      <w:r>
        <w:t>绩效指标：举办招商活动3次以上。</w:t>
      </w:r>
    </w:p>
    <w:p>
      <w:pPr>
        <w:pStyle w:val="22"/>
      </w:pPr>
      <w:r>
        <w:t>（三）党委自身建设和村党组织建设。</w:t>
      </w:r>
    </w:p>
    <w:p>
      <w:pPr>
        <w:pStyle w:val="22"/>
      </w:pPr>
      <w:r>
        <w:t>1、镇组织建设。组织、监督国家基本公共政策的实施，建立健全乡村干部队伍建设，增强乡村干部的综合素质和致富、领富能力。</w:t>
      </w:r>
    </w:p>
    <w:p>
      <w:pPr>
        <w:pStyle w:val="22"/>
      </w:pPr>
      <w:r>
        <w:t>绩效目标：加强村两委领导班子建设，每年对村两委班子实行量化绩效考核。</w:t>
      </w:r>
    </w:p>
    <w:p>
      <w:pPr>
        <w:pStyle w:val="22"/>
      </w:pPr>
      <w:r>
        <w:t>绩效指标：督查督办落实任务，村民满意度评价在90%以上。</w:t>
      </w:r>
    </w:p>
    <w:p>
      <w:pPr>
        <w:pStyle w:val="22"/>
      </w:pPr>
      <w:r>
        <w:t>2、党建工作。抓好党组织、团委、妇联建设,提出党内生活制度建设的意见，指导全乡党员教育工作，加强村级建设。</w:t>
      </w:r>
    </w:p>
    <w:p>
      <w:pPr>
        <w:pStyle w:val="22"/>
      </w:pPr>
      <w:r>
        <w:t>绩效目标：抓好党员干部队伍思想作风建设,加强党组织建设和党员管理,不断提高执政能力和领导水平，加强村干部队伍建设。</w:t>
      </w:r>
    </w:p>
    <w:p>
      <w:pPr>
        <w:pStyle w:val="22"/>
      </w:pPr>
      <w:r>
        <w:t>绩效指标：加强学习强国和新思想的学习，村级组织和村干部的年度综合考评在90分以上。</w:t>
      </w:r>
    </w:p>
    <w:p>
      <w:pPr>
        <w:pStyle w:val="22"/>
      </w:pPr>
      <w:r>
        <w:t>（四）基层治理。</w:t>
      </w:r>
    </w:p>
    <w:p>
      <w:pPr>
        <w:pStyle w:val="22"/>
      </w:pPr>
      <w:r>
        <w:t>加强法治建设、加强社会治安综合治理，做好应急管理、环境保护、退役军人服务等工作。</w:t>
      </w:r>
    </w:p>
    <w:p>
      <w:pPr>
        <w:pStyle w:val="22"/>
      </w:pPr>
      <w:r>
        <w:t>1、社会治安综合治理。深化人民调解、社区矫正和安置帮教工作。深化社会综合治理，加强社会治安防控体系建设，依法防范和打击违法犯罪活动。</w:t>
      </w:r>
    </w:p>
    <w:p>
      <w:pPr>
        <w:pStyle w:val="22"/>
      </w:pPr>
      <w:r>
        <w:t>绩效目标：加强普法宣传，增强法律意识。</w:t>
      </w:r>
    </w:p>
    <w:p>
      <w:pPr>
        <w:pStyle w:val="22"/>
      </w:pPr>
      <w:r>
        <w:t>绩效指标：完成普法宣传教育讲座的次数5次以上。</w:t>
      </w:r>
    </w:p>
    <w:p>
      <w:pPr>
        <w:pStyle w:val="22"/>
      </w:pPr>
      <w:r>
        <w:t>2、公共卫生服务。负责人口和计划生育政策法规的相关工作，为提高人口素质提供优质服务。</w:t>
      </w:r>
    </w:p>
    <w:p>
      <w:pPr>
        <w:pStyle w:val="22"/>
      </w:pPr>
      <w:r>
        <w:t>绩效目标：负责优生、优育、节育服务，负责育龄妇女定期检查，排查管理本辖区流动人口计划生育工作。</w:t>
      </w:r>
    </w:p>
    <w:p>
      <w:pPr>
        <w:pStyle w:val="22"/>
      </w:pPr>
      <w:r>
        <w:t>绩效指标：计划生育家庭特别辅助政策落实到位，享受农村计生家庭扶助奖励政策落到实处，使计生群众服务满意达到90%以上。</w:t>
      </w:r>
    </w:p>
    <w:p>
      <w:pPr>
        <w:pStyle w:val="22"/>
      </w:pPr>
      <w:r>
        <w:t>3、就业服务。提供就业信息，加大劳务输出数量。</w:t>
      </w:r>
    </w:p>
    <w:p>
      <w:pPr>
        <w:pStyle w:val="22"/>
      </w:pPr>
      <w:r>
        <w:t>绩效目标：提高劳动力收入水平，提高人民群众生活水平。</w:t>
      </w:r>
    </w:p>
    <w:p>
      <w:pPr>
        <w:pStyle w:val="22"/>
      </w:pPr>
      <w:r>
        <w:t>绩效指标：就业岗位比上年度增长10%。</w:t>
      </w:r>
    </w:p>
    <w:p>
      <w:pPr>
        <w:pStyle w:val="22"/>
      </w:pPr>
      <w:r>
        <w:t>4、建设美丽幸福乡镇。制定城乡规划技术管理标准，拟定村庄和小镇建设及环境卫生政策并指导实施，指导农村住房建设和美丽乡镇建设。</w:t>
      </w:r>
    </w:p>
    <w:p>
      <w:pPr>
        <w:pStyle w:val="22"/>
      </w:pPr>
      <w:r>
        <w:t>绩效目标：加强村镇建设，改善农村环境卫生，增加绿化改造。</w:t>
      </w:r>
    </w:p>
    <w:p>
      <w:pPr>
        <w:pStyle w:val="22"/>
      </w:pPr>
      <w:r>
        <w:t>绩效指标：建设美丽村居重点示范村5个以上。</w:t>
      </w:r>
    </w:p>
    <w:p>
      <w:pPr>
        <w:pStyle w:val="22"/>
      </w:pPr>
      <w:r>
        <w:t>5、防灾减灾。组织协调乡级防灾减灾工作。组织核查并统一发布灾情，组织指导救灾捐赠工作，负责国内外救灾捐赠款物的接收使用，组织协调紧急转移安置灾民，做好防灾减灾。</w:t>
      </w:r>
    </w:p>
    <w:p>
      <w:pPr>
        <w:pStyle w:val="22"/>
      </w:pPr>
      <w:r>
        <w:t>绩效目标：严格控制火灾发生，确保全年行洪畅通，安全度汛。</w:t>
      </w:r>
    </w:p>
    <w:p>
      <w:pPr>
        <w:pStyle w:val="22"/>
      </w:pPr>
      <w:r>
        <w:t>绩效指标：普及宣传防灾救灾相关知识讲座3次以上，全年必须举行一次火灾应急演练1次。</w:t>
      </w:r>
    </w:p>
    <w:p>
      <w:pPr>
        <w:pStyle w:val="22"/>
      </w:pPr>
      <w:r>
        <w:t>（五）社会稳定。</w:t>
      </w:r>
    </w:p>
    <w:p>
      <w:pPr>
        <w:pStyle w:val="22"/>
      </w:pPr>
      <w:r>
        <w:t>加强法制宣传，做好信访维稳工作，负责正常来访，接访及疑难问题处理，确保社会稳定。</w:t>
      </w:r>
    </w:p>
    <w:p>
      <w:pPr>
        <w:pStyle w:val="22"/>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2"/>
      </w:pPr>
      <w:r>
        <w:t>绩效目标：加强普法宣传，增强法律意识。</w:t>
      </w:r>
    </w:p>
    <w:p>
      <w:pPr>
        <w:pStyle w:val="22"/>
      </w:pPr>
      <w:r>
        <w:t>绩效指标：镇域违法事件比上年度降低10%。</w:t>
      </w:r>
    </w:p>
    <w:p>
      <w:pPr>
        <w:pStyle w:val="22"/>
      </w:pPr>
      <w:r>
        <w:t>2、信访维稳。负责正常信访、非访、突发性及群体性事件的办理，提供相关服务保障，协助上级信访局处理越级上访，维护社会秩序和社会稳定，促进社会和谐。</w:t>
      </w:r>
    </w:p>
    <w:p>
      <w:pPr>
        <w:pStyle w:val="22"/>
      </w:pPr>
      <w:r>
        <w:t>绩效目标：及时掌握社会治安动态，消除治安隐患,对有关对象违反党纪政纪和违纪违法行为进行处理；组织协调案件查办工作。</w:t>
      </w:r>
    </w:p>
    <w:p>
      <w:pPr>
        <w:pStyle w:val="22"/>
      </w:pPr>
      <w:r>
        <w:t>绩效指标：信访事件及时处理，协调督导事件化解率90%以上。</w:t>
      </w:r>
    </w:p>
    <w:p>
      <w:pPr>
        <w:spacing w:line="500" w:lineRule="exact"/>
        <w:ind w:firstLine="560"/>
      </w:pPr>
      <w:r>
        <w:rPr>
          <w:rFonts w:eastAsia="方正仿宋_GBK"/>
          <w:color w:val="000000"/>
          <w:sz w:val="28"/>
        </w:rPr>
        <w:t>（三）工作保障措施</w:t>
      </w:r>
    </w:p>
    <w:p>
      <w:pPr>
        <w:pStyle w:val="23"/>
      </w:pPr>
      <w:r>
        <w:t>为实现2026年度绩效目标所采取的各项重要措施。可以根据预测可能存在的问题、环境变化的趋势，采取措施预做准备，控制偏差，保证绩效目标的实现。各部门可结合本部门预算绩效管理实际情况制定以下保障措施：</w:t>
      </w:r>
    </w:p>
    <w:p>
      <w:pPr>
        <w:pStyle w:val="23"/>
      </w:pPr>
      <w:r>
        <w:t>（一）完善制度建设。制定完善预算绩效管理制度、资金管理办法、工作保障制度等，为全年预算绩效目标的实现奠定制度基础。</w:t>
      </w:r>
    </w:p>
    <w:p>
      <w:pPr>
        <w:pStyle w:val="23"/>
      </w:pPr>
      <w:r>
        <w:t>（二）加强支出管理。通过优化支出结构、编细编实预算、加快履行政府采购手续、尽快启动项目、及时支付资金、6月底前细化代编预算、按规定及时下达资金等多种措施，确保支出进度达标。</w:t>
      </w:r>
    </w:p>
    <w:p>
      <w:pPr>
        <w:pStyle w:val="23"/>
      </w:pPr>
      <w:r>
        <w:t>（三）加强绩效运行监控。按要求开展绩效运行监控，发现问题及时采取措施，确保绩效目标如期保质实现。</w:t>
      </w:r>
    </w:p>
    <w:p>
      <w:pPr>
        <w:pStyle w:val="23"/>
      </w:pPr>
      <w:r>
        <w:t>（四）做好绩效自评。按要求开展上年度部门预算绩效自评和重点评价工作，对评价中发现的问题及时整改，调整优化支出结构提高财政资金使用效益。</w:t>
      </w:r>
    </w:p>
    <w:p>
      <w:pPr>
        <w:pStyle w:val="23"/>
      </w:pPr>
      <w:r>
        <w:t>（五）规范财务资产管理。完善财务管理制度，严格审批程序，加强固定资产登记、使用和报废处置管理，做到支出合理，物尽其用。</w:t>
      </w:r>
    </w:p>
    <w:p>
      <w:pPr>
        <w:pStyle w:val="2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3"/>
        <w:sectPr>
          <w:pgSz w:w="16840" w:h="11900" w:orient="landscape"/>
          <w:pgMar w:top="1361" w:right="1020" w:bottom="1361" w:left="1020" w:header="720" w:footer="720" w:gutter="0"/>
          <w:cols w:space="720" w:num="1"/>
        </w:sectPr>
      </w:pPr>
      <w:r>
        <w:t>（八）保障机关事务正常运行、协调大型会议、重要活动的正常、顺利举办。党委、政府公文运转、会议和活动组织安排、公车管理、食堂、后勤综合管理等。</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cs="黑体"/>
          <w:color w:val="000000"/>
          <w:sz w:val="32"/>
          <w:lang w:eastAsia="zh-CN"/>
        </w:rPr>
      </w:pPr>
      <w:r>
        <w:rPr>
          <w:rFonts w:hint="eastAsia" w:asciiTheme="minorEastAsia" w:hAnsiTheme="minorEastAsia"/>
          <w:color w:val="000000"/>
          <w:sz w:val="28"/>
          <w:lang w:eastAsia="zh-CN"/>
        </w:rPr>
        <w:t xml:space="preserve">    </w:t>
      </w:r>
      <w:r>
        <w:rPr>
          <w:rFonts w:hint="eastAsia"/>
          <w:color w:val="000000"/>
          <w:sz w:val="28"/>
          <w:lang w:eastAsia="zh-CN"/>
        </w:rPr>
        <w:t xml:space="preserve"> 无。</w:t>
      </w:r>
    </w:p>
    <w:p>
      <w:pPr>
        <w:spacing w:before="10" w:after="10" w:line="360" w:lineRule="auto"/>
        <w:ind w:firstLine="640"/>
        <w:outlineLvl w:val="2"/>
        <w:rPr>
          <w:lang w:eastAsia="zh-CN"/>
        </w:rPr>
      </w:pPr>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13032226P00223610044A</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65.48</w:t>
            </w:r>
          </w:p>
        </w:tc>
        <w:tc>
          <w:tcPr>
            <w:tcW w:w="2835" w:type="dxa"/>
            <w:vAlign w:val="center"/>
          </w:tcPr>
          <w:p>
            <w:pPr>
              <w:pStyle w:val="10"/>
            </w:pPr>
            <w:r>
              <w:t>其中：财政    资金</w:t>
            </w:r>
          </w:p>
        </w:tc>
        <w:tc>
          <w:tcPr>
            <w:tcW w:w="2551" w:type="dxa"/>
            <w:vAlign w:val="center"/>
          </w:tcPr>
          <w:p>
            <w:pPr>
              <w:pStyle w:val="12"/>
            </w:pPr>
            <w:r>
              <w:t>65.48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用于发放2025-2026年取暖季“双代”用户取暖补贴，保障用户正常取暖。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1.用于发放2025-2026年取暖季“双代”用户取暖补贴，保障用户正常取暖。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补助行政村数量</w:t>
            </w:r>
          </w:p>
        </w:tc>
        <w:tc>
          <w:tcPr>
            <w:tcW w:w="5386" w:type="dxa"/>
            <w:vAlign w:val="center"/>
          </w:tcPr>
          <w:p>
            <w:pPr>
              <w:pStyle w:val="12"/>
            </w:pPr>
            <w:r>
              <w:t>实施“双代”取暖的政村数量</w:t>
            </w:r>
          </w:p>
        </w:tc>
        <w:tc>
          <w:tcPr>
            <w:tcW w:w="2268" w:type="dxa"/>
            <w:vAlign w:val="center"/>
          </w:tcPr>
          <w:p>
            <w:pPr>
              <w:pStyle w:val="12"/>
            </w:pPr>
            <w:r>
              <w:t>16个</w:t>
            </w:r>
          </w:p>
        </w:tc>
        <w:tc>
          <w:tcPr>
            <w:tcW w:w="1276" w:type="dxa"/>
            <w:vAlign w:val="center"/>
          </w:tcPr>
          <w:p>
            <w:pPr>
              <w:pStyle w:val="12"/>
            </w:pPr>
            <w:r>
              <w:t>实际行政村数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“双代”补助资金到位率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资金补助及时率</w:t>
            </w:r>
          </w:p>
        </w:tc>
        <w:tc>
          <w:tcPr>
            <w:tcW w:w="5386" w:type="dxa"/>
            <w:vAlign w:val="center"/>
          </w:tcPr>
          <w:p>
            <w:pPr>
              <w:pStyle w:val="12"/>
            </w:pPr>
            <w:r>
              <w:t>“双代”资金补助及时率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成本降低率</w:t>
            </w:r>
          </w:p>
        </w:tc>
        <w:tc>
          <w:tcPr>
            <w:tcW w:w="5386" w:type="dxa"/>
            <w:vAlign w:val="center"/>
          </w:tcPr>
          <w:p>
            <w:pPr>
              <w:pStyle w:val="12"/>
            </w:pPr>
            <w:r>
              <w:t>“双代”实施燃气成本降低率</w:t>
            </w:r>
          </w:p>
        </w:tc>
        <w:tc>
          <w:tcPr>
            <w:tcW w:w="2268" w:type="dxa"/>
            <w:vAlign w:val="center"/>
          </w:tcPr>
          <w:p>
            <w:pPr>
              <w:pStyle w:val="12"/>
            </w:pPr>
            <w:r>
              <w:t>≥20%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“双代”</w:t>
            </w:r>
            <w:r>
              <w:rPr>
                <w:rFonts w:hint="eastAsia"/>
                <w:lang w:eastAsia="zh-CN"/>
              </w:rPr>
              <w:t>资金</w:t>
            </w:r>
            <w:r>
              <w:t>的使用效率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政策覆盖范围</w:t>
            </w:r>
          </w:p>
        </w:tc>
        <w:tc>
          <w:tcPr>
            <w:tcW w:w="5386" w:type="dxa"/>
            <w:vAlign w:val="center"/>
          </w:tcPr>
          <w:p>
            <w:pPr>
              <w:pStyle w:val="12"/>
            </w:pPr>
            <w:r>
              <w:t>推动“气代煤”政策的支出推进</w:t>
            </w:r>
          </w:p>
        </w:tc>
        <w:tc>
          <w:tcPr>
            <w:tcW w:w="2268" w:type="dxa"/>
            <w:vAlign w:val="center"/>
          </w:tcPr>
          <w:p>
            <w:pPr>
              <w:pStyle w:val="12"/>
            </w:pPr>
            <w:r>
              <w:t>积极推动</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生态环保</w:t>
            </w:r>
          </w:p>
        </w:tc>
        <w:tc>
          <w:tcPr>
            <w:tcW w:w="5386" w:type="dxa"/>
            <w:vAlign w:val="center"/>
          </w:tcPr>
          <w:p>
            <w:pPr>
              <w:pStyle w:val="12"/>
            </w:pPr>
            <w:r>
              <w:t>降低PM2.5、二氧化硫等污染物排放率</w:t>
            </w:r>
          </w:p>
        </w:tc>
        <w:tc>
          <w:tcPr>
            <w:tcW w:w="2268" w:type="dxa"/>
            <w:vAlign w:val="center"/>
          </w:tcPr>
          <w:p>
            <w:pPr>
              <w:pStyle w:val="12"/>
            </w:pPr>
            <w:r>
              <w:t>显著降低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“气代煤“效果持续时间</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通过调查享受“气代煤”用户比较满意占所有用户的比例</w:t>
            </w:r>
          </w:p>
        </w:tc>
        <w:tc>
          <w:tcPr>
            <w:tcW w:w="2268" w:type="dxa"/>
            <w:vAlign w:val="center"/>
          </w:tcPr>
          <w:p>
            <w:pPr>
              <w:pStyle w:val="12"/>
            </w:pPr>
            <w:r>
              <w:t>≥90%</w:t>
            </w:r>
          </w:p>
        </w:tc>
        <w:tc>
          <w:tcPr>
            <w:tcW w:w="1276" w:type="dxa"/>
            <w:vAlign w:val="center"/>
          </w:tcPr>
          <w:p>
            <w:pPr>
              <w:pStyle w:val="12"/>
            </w:pPr>
            <w:r>
              <w:t>工作目标计划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13032226P00217210071H</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用于文化活动支出。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w:t>
            </w:r>
          </w:p>
        </w:tc>
        <w:tc>
          <w:tcPr>
            <w:tcW w:w="5386" w:type="dxa"/>
            <w:vAlign w:val="center"/>
          </w:tcPr>
          <w:p>
            <w:pPr>
              <w:pStyle w:val="12"/>
            </w:pPr>
            <w:r>
              <w:t>免费开放场馆(站)组织举办各类展览、培训、讲座等文化活动的数</w:t>
            </w:r>
          </w:p>
        </w:tc>
        <w:tc>
          <w:tcPr>
            <w:tcW w:w="2268" w:type="dxa"/>
            <w:vAlign w:val="center"/>
          </w:tcPr>
          <w:p>
            <w:pPr>
              <w:pStyle w:val="12"/>
            </w:pPr>
            <w:r>
              <w:t>≥3次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≥3次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全年办公费支出总额</w:t>
            </w:r>
          </w:p>
        </w:tc>
        <w:tc>
          <w:tcPr>
            <w:tcW w:w="5386" w:type="dxa"/>
            <w:vAlign w:val="center"/>
          </w:tcPr>
          <w:p>
            <w:pPr>
              <w:pStyle w:val="12"/>
            </w:pPr>
            <w:r>
              <w:t>公共图书馆、美术馆、文化馆公费支出总额</w:t>
            </w:r>
          </w:p>
        </w:tc>
        <w:tc>
          <w:tcPr>
            <w:tcW w:w="2268" w:type="dxa"/>
            <w:vAlign w:val="center"/>
          </w:tcPr>
          <w:p>
            <w:pPr>
              <w:pStyle w:val="12"/>
            </w:pPr>
            <w:r>
              <w:t>≤1.5万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满意度指标服务对象满意度指标务的满意度受益群众对免费开放场馆(站)服</w:t>
            </w:r>
          </w:p>
        </w:tc>
        <w:tc>
          <w:tcPr>
            <w:tcW w:w="5386" w:type="dxa"/>
            <w:vAlign w:val="center"/>
          </w:tcPr>
          <w:p>
            <w:pPr>
              <w:pStyle w:val="12"/>
            </w:pPr>
            <w:r>
              <w:t>满意度指标服务对象满意度指标务的满意度受益群众对免费开放场馆(站)服</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13032226P00227310068C</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2.04</w:t>
            </w:r>
          </w:p>
        </w:tc>
        <w:tc>
          <w:tcPr>
            <w:tcW w:w="2835" w:type="dxa"/>
            <w:vAlign w:val="center"/>
          </w:tcPr>
          <w:p>
            <w:pPr>
              <w:pStyle w:val="10"/>
            </w:pPr>
            <w:r>
              <w:t>其中：财政    资金</w:t>
            </w:r>
          </w:p>
        </w:tc>
        <w:tc>
          <w:tcPr>
            <w:tcW w:w="2551" w:type="dxa"/>
            <w:vAlign w:val="center"/>
          </w:tcPr>
          <w:p>
            <w:pPr>
              <w:pStyle w:val="12"/>
            </w:pPr>
            <w:r>
              <w:t>2.04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支付原国防公路建设工役制人员生活困难补贴及昌黎县“三线”铁路建设民兵补贴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1.发放原国防公路建设工役制人员生活困难补贴及昌黎县“三线”铁路建设民兵补贴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工役制人员和“三线”民兵人数</w:t>
            </w:r>
          </w:p>
        </w:tc>
        <w:tc>
          <w:tcPr>
            <w:tcW w:w="2268" w:type="dxa"/>
            <w:vAlign w:val="center"/>
          </w:tcPr>
          <w:p>
            <w:pPr>
              <w:pStyle w:val="12"/>
            </w:pPr>
            <w:r>
              <w:t>7人</w:t>
            </w:r>
          </w:p>
        </w:tc>
        <w:tc>
          <w:tcPr>
            <w:tcW w:w="1276" w:type="dxa"/>
            <w:vAlign w:val="center"/>
          </w:tcPr>
          <w:p>
            <w:pPr>
              <w:pStyle w:val="12"/>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补助资金到位率</w:t>
            </w:r>
          </w:p>
        </w:tc>
        <w:tc>
          <w:tcPr>
            <w:tcW w:w="5386" w:type="dxa"/>
            <w:vAlign w:val="center"/>
          </w:tcPr>
          <w:p>
            <w:pPr>
              <w:pStyle w:val="12"/>
            </w:pPr>
            <w:r>
              <w:t>补助资金到位率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资金发放准时率</w:t>
            </w:r>
          </w:p>
        </w:tc>
        <w:tc>
          <w:tcPr>
            <w:tcW w:w="5386" w:type="dxa"/>
            <w:vAlign w:val="center"/>
          </w:tcPr>
          <w:p>
            <w:pPr>
              <w:pStyle w:val="12"/>
            </w:pPr>
            <w:r>
              <w:t>资金发放准时率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按文件规定没有补助资金金额</w:t>
            </w:r>
          </w:p>
        </w:tc>
        <w:tc>
          <w:tcPr>
            <w:tcW w:w="2268" w:type="dxa"/>
            <w:vAlign w:val="center"/>
          </w:tcPr>
          <w:p>
            <w:pPr>
              <w:pStyle w:val="12"/>
            </w:pPr>
            <w:r>
              <w:t>≥0.17万元</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工役制生活补贴和民兵补助资金使用效益</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保障工作开展</w:t>
            </w:r>
          </w:p>
        </w:tc>
        <w:tc>
          <w:tcPr>
            <w:tcW w:w="5386" w:type="dxa"/>
            <w:vAlign w:val="center"/>
          </w:tcPr>
          <w:p>
            <w:pPr>
              <w:pStyle w:val="12"/>
            </w:pPr>
            <w:r>
              <w:t>保障原国防路工役制人员和“三线”铁路建设民兵最低生活水平</w:t>
            </w:r>
          </w:p>
        </w:tc>
        <w:tc>
          <w:tcPr>
            <w:tcW w:w="2268" w:type="dxa"/>
            <w:vAlign w:val="center"/>
          </w:tcPr>
          <w:p>
            <w:pPr>
              <w:pStyle w:val="12"/>
            </w:pPr>
            <w:r>
              <w:t>较上年提升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对补助人员的生活影响的时间</w:t>
            </w:r>
          </w:p>
        </w:tc>
        <w:tc>
          <w:tcPr>
            <w:tcW w:w="5386" w:type="dxa"/>
            <w:vAlign w:val="center"/>
          </w:tcPr>
          <w:p>
            <w:pPr>
              <w:pStyle w:val="12"/>
            </w:pPr>
            <w:r>
              <w:t>对补助人员的生活影响的时间</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13032226P00223610027D</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27.47</w:t>
            </w:r>
          </w:p>
        </w:tc>
        <w:tc>
          <w:tcPr>
            <w:tcW w:w="2835" w:type="dxa"/>
            <w:vAlign w:val="center"/>
          </w:tcPr>
          <w:p>
            <w:pPr>
              <w:pStyle w:val="10"/>
            </w:pPr>
            <w:r>
              <w:t>其中：财政    资金</w:t>
            </w:r>
          </w:p>
        </w:tc>
        <w:tc>
          <w:tcPr>
            <w:tcW w:w="2551" w:type="dxa"/>
            <w:vAlign w:val="center"/>
          </w:tcPr>
          <w:p>
            <w:pPr>
              <w:pStyle w:val="12"/>
            </w:pPr>
            <w:r>
              <w:t>27.47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用于发放“气代煤”用户燃气补贴。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1.用于支付2023-2025两个取暖季“气代煤”用户补贴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补助行政村数量</w:t>
            </w:r>
          </w:p>
        </w:tc>
        <w:tc>
          <w:tcPr>
            <w:tcW w:w="5386" w:type="dxa"/>
            <w:vAlign w:val="center"/>
          </w:tcPr>
          <w:p>
            <w:pPr>
              <w:pStyle w:val="12"/>
            </w:pPr>
            <w:r>
              <w:t>实施“气代煤”取暖的政村数量</w:t>
            </w:r>
          </w:p>
        </w:tc>
        <w:tc>
          <w:tcPr>
            <w:tcW w:w="2268" w:type="dxa"/>
            <w:vAlign w:val="center"/>
          </w:tcPr>
          <w:p>
            <w:pPr>
              <w:pStyle w:val="12"/>
            </w:pPr>
            <w:r>
              <w:t>15个</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“气代煤”补助资金到位率</w:t>
            </w:r>
          </w:p>
          <w:p>
            <w:pPr>
              <w:pStyle w:val="12"/>
            </w:pP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资金补助及时率</w:t>
            </w:r>
          </w:p>
        </w:tc>
        <w:tc>
          <w:tcPr>
            <w:tcW w:w="5386" w:type="dxa"/>
            <w:vAlign w:val="center"/>
          </w:tcPr>
          <w:p>
            <w:pPr>
              <w:pStyle w:val="12"/>
            </w:pPr>
            <w:r>
              <w:t>“气代煤”资金补助及时率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成本降低率</w:t>
            </w:r>
          </w:p>
        </w:tc>
        <w:tc>
          <w:tcPr>
            <w:tcW w:w="5386" w:type="dxa"/>
            <w:vAlign w:val="center"/>
          </w:tcPr>
          <w:p>
            <w:pPr>
              <w:pStyle w:val="12"/>
            </w:pPr>
            <w:r>
              <w:t>“气代煤”实施燃气成本降低率</w:t>
            </w:r>
          </w:p>
        </w:tc>
        <w:tc>
          <w:tcPr>
            <w:tcW w:w="2268" w:type="dxa"/>
            <w:vAlign w:val="center"/>
          </w:tcPr>
          <w:p>
            <w:pPr>
              <w:pStyle w:val="12"/>
            </w:pPr>
            <w:r>
              <w:t>≥20%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“气代煤”</w:t>
            </w:r>
            <w:bookmarkStart w:id="20" w:name="_GoBack"/>
            <w:bookmarkEnd w:id="20"/>
            <w:r>
              <w:rPr>
                <w:rFonts w:hint="eastAsia"/>
                <w:lang w:eastAsia="zh-CN"/>
              </w:rPr>
              <w:t>资金</w:t>
            </w:r>
            <w:r>
              <w:t>的使用效率</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政策覆盖范围</w:t>
            </w:r>
          </w:p>
        </w:tc>
        <w:tc>
          <w:tcPr>
            <w:tcW w:w="5386" w:type="dxa"/>
            <w:vAlign w:val="center"/>
          </w:tcPr>
          <w:p>
            <w:pPr>
              <w:pStyle w:val="12"/>
            </w:pPr>
            <w:r>
              <w:t>推动“气代煤”政策的支出推进</w:t>
            </w:r>
          </w:p>
        </w:tc>
        <w:tc>
          <w:tcPr>
            <w:tcW w:w="2268" w:type="dxa"/>
            <w:vAlign w:val="center"/>
          </w:tcPr>
          <w:p>
            <w:pPr>
              <w:pStyle w:val="12"/>
            </w:pPr>
            <w:r>
              <w:t>积极推动</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生态环保</w:t>
            </w:r>
          </w:p>
        </w:tc>
        <w:tc>
          <w:tcPr>
            <w:tcW w:w="5386" w:type="dxa"/>
            <w:vAlign w:val="center"/>
          </w:tcPr>
          <w:p>
            <w:pPr>
              <w:pStyle w:val="12"/>
            </w:pPr>
            <w:r>
              <w:t>降低PM2.5、二氧化硫等污染物排放率</w:t>
            </w:r>
          </w:p>
        </w:tc>
        <w:tc>
          <w:tcPr>
            <w:tcW w:w="2268" w:type="dxa"/>
            <w:vAlign w:val="center"/>
          </w:tcPr>
          <w:p>
            <w:pPr>
              <w:pStyle w:val="12"/>
            </w:pPr>
            <w:r>
              <w:t>显著降低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“气代煤“效果持续时间</w:t>
            </w:r>
          </w:p>
        </w:tc>
        <w:tc>
          <w:tcPr>
            <w:tcW w:w="2268" w:type="dxa"/>
            <w:vAlign w:val="center"/>
          </w:tcPr>
          <w:p>
            <w:pPr>
              <w:pStyle w:val="12"/>
            </w:pPr>
            <w:r>
              <w:t>2年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通过调查享受“气代煤”用户比较满意占所有用户的比例</w:t>
            </w:r>
          </w:p>
        </w:tc>
        <w:tc>
          <w:tcPr>
            <w:tcW w:w="2268" w:type="dxa"/>
            <w:vAlign w:val="center"/>
          </w:tcPr>
          <w:p>
            <w:pPr>
              <w:pStyle w:val="12"/>
            </w:pPr>
            <w:r>
              <w:t>≥90%</w:t>
            </w:r>
          </w:p>
        </w:tc>
        <w:tc>
          <w:tcPr>
            <w:tcW w:w="1276" w:type="dxa"/>
            <w:vAlign w:val="center"/>
          </w:tcPr>
          <w:p>
            <w:pPr>
              <w:pStyle w:val="12"/>
            </w:pPr>
            <w: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13032226P00225210409R</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33.12</w:t>
            </w:r>
          </w:p>
        </w:tc>
        <w:tc>
          <w:tcPr>
            <w:tcW w:w="2835" w:type="dxa"/>
            <w:vAlign w:val="center"/>
          </w:tcPr>
          <w:p>
            <w:pPr>
              <w:pStyle w:val="10"/>
            </w:pPr>
            <w:r>
              <w:t>其中：财政    资金</w:t>
            </w:r>
          </w:p>
        </w:tc>
        <w:tc>
          <w:tcPr>
            <w:tcW w:w="2551" w:type="dxa"/>
            <w:vAlign w:val="center"/>
          </w:tcPr>
          <w:p>
            <w:pPr>
              <w:pStyle w:val="12"/>
            </w:pPr>
            <w:r>
              <w:t>33.12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用于2026年村级党组织活动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实有补助党支部数量</w:t>
            </w:r>
          </w:p>
        </w:tc>
        <w:tc>
          <w:tcPr>
            <w:tcW w:w="5386" w:type="dxa"/>
            <w:vAlign w:val="center"/>
          </w:tcPr>
          <w:p>
            <w:pPr>
              <w:pStyle w:val="12"/>
            </w:pPr>
            <w:r>
              <w:t>实有补助党支部数量</w:t>
            </w:r>
          </w:p>
        </w:tc>
        <w:tc>
          <w:tcPr>
            <w:tcW w:w="2268" w:type="dxa"/>
            <w:vAlign w:val="center"/>
          </w:tcPr>
          <w:p>
            <w:pPr>
              <w:pStyle w:val="12"/>
            </w:pPr>
            <w:r>
              <w:t>42个</w:t>
            </w:r>
          </w:p>
        </w:tc>
        <w:tc>
          <w:tcPr>
            <w:tcW w:w="1276" w:type="dxa"/>
            <w:vAlign w:val="center"/>
          </w:tcPr>
          <w:p>
            <w:pPr>
              <w:pStyle w:val="12"/>
            </w:pPr>
            <w:r>
              <w:t>实有党支部数量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w:t>
            </w:r>
          </w:p>
        </w:tc>
        <w:tc>
          <w:tcPr>
            <w:tcW w:w="1276" w:type="dxa"/>
            <w:vAlign w:val="center"/>
          </w:tcPr>
          <w:p>
            <w:pPr>
              <w:pStyle w:val="12"/>
            </w:pPr>
            <w:r>
              <w:t>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全年集体经济收入比上年增长数占上年收入数的比例</w:t>
            </w:r>
          </w:p>
        </w:tc>
        <w:tc>
          <w:tcPr>
            <w:tcW w:w="2268" w:type="dxa"/>
            <w:vAlign w:val="center"/>
          </w:tcPr>
          <w:p>
            <w:pPr>
              <w:pStyle w:val="12"/>
            </w:pPr>
            <w:r>
              <w:t>≥3%</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较上年提高</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13032226P00225210411Q</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224.81</w:t>
            </w:r>
          </w:p>
        </w:tc>
        <w:tc>
          <w:tcPr>
            <w:tcW w:w="2835" w:type="dxa"/>
            <w:vAlign w:val="center"/>
          </w:tcPr>
          <w:p>
            <w:pPr>
              <w:pStyle w:val="10"/>
            </w:pPr>
            <w:r>
              <w:t>其中：财政    资金</w:t>
            </w:r>
          </w:p>
        </w:tc>
        <w:tc>
          <w:tcPr>
            <w:tcW w:w="2551" w:type="dxa"/>
            <w:vAlign w:val="center"/>
          </w:tcPr>
          <w:p>
            <w:pPr>
              <w:pStyle w:val="12"/>
            </w:pPr>
            <w:r>
              <w:t>224.81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支付2026年村党组织书记、村委会主任基础补贴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1.保障2026年村党组织书记、村委会主任基础补贴，保证村组织正常运行。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≥42人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正职补助标准</w:t>
            </w:r>
          </w:p>
        </w:tc>
        <w:tc>
          <w:tcPr>
            <w:tcW w:w="5386" w:type="dxa"/>
            <w:vAlign w:val="center"/>
          </w:tcPr>
          <w:p>
            <w:pPr>
              <w:pStyle w:val="12"/>
            </w:pPr>
            <w:r>
              <w:t>村干部正职年全年补贴标准</w:t>
            </w:r>
          </w:p>
        </w:tc>
        <w:tc>
          <w:tcPr>
            <w:tcW w:w="2268" w:type="dxa"/>
            <w:vAlign w:val="center"/>
          </w:tcPr>
          <w:p>
            <w:pPr>
              <w:pStyle w:val="12"/>
            </w:pPr>
            <w:r>
              <w:t>≤37262.4元/人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村民矛盾纠纷化解率</w:t>
            </w:r>
          </w:p>
        </w:tc>
        <w:tc>
          <w:tcPr>
            <w:tcW w:w="2268" w:type="dxa"/>
            <w:vAlign w:val="center"/>
          </w:tcPr>
          <w:p>
            <w:pPr>
              <w:pStyle w:val="12"/>
            </w:pPr>
            <w:r>
              <w:t>≥90%</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13032226P002252104086</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1.通过确保水电暖等费用及时支付，达到保证村级组织的正常运转的效果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42个</w:t>
            </w:r>
          </w:p>
        </w:tc>
        <w:tc>
          <w:tcPr>
            <w:tcW w:w="1276" w:type="dxa"/>
            <w:vAlign w:val="center"/>
          </w:tcPr>
          <w:p>
            <w:pPr>
              <w:pStyle w:val="12"/>
            </w:pPr>
            <w:r>
              <w:t>实有行政村数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0.5万</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≥1%</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较上年提高</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r>
              <w:tab/>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13032226P00225210295K</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98.04</w:t>
            </w:r>
          </w:p>
        </w:tc>
        <w:tc>
          <w:tcPr>
            <w:tcW w:w="2835" w:type="dxa"/>
            <w:vAlign w:val="center"/>
          </w:tcPr>
          <w:p>
            <w:pPr>
              <w:pStyle w:val="10"/>
            </w:pPr>
            <w:r>
              <w:t>其中：财政    资金</w:t>
            </w:r>
          </w:p>
        </w:tc>
        <w:tc>
          <w:tcPr>
            <w:tcW w:w="2551" w:type="dxa"/>
            <w:vAlign w:val="center"/>
          </w:tcPr>
          <w:p>
            <w:pPr>
              <w:pStyle w:val="12"/>
            </w:pPr>
            <w:r>
              <w:t>98.04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1.确保农村保洁员资金及时支付，保障保洁工作正常开展。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保洁工资核算标准</w:t>
            </w:r>
          </w:p>
        </w:tc>
        <w:tc>
          <w:tcPr>
            <w:tcW w:w="5386" w:type="dxa"/>
            <w:vAlign w:val="center"/>
          </w:tcPr>
          <w:p>
            <w:pPr>
              <w:pStyle w:val="12"/>
            </w:pPr>
            <w:r>
              <w:t>保洁员工资标准</w:t>
            </w:r>
          </w:p>
        </w:tc>
        <w:tc>
          <w:tcPr>
            <w:tcW w:w="2268" w:type="dxa"/>
            <w:vAlign w:val="center"/>
          </w:tcPr>
          <w:p>
            <w:pPr>
              <w:pStyle w:val="12"/>
            </w:pPr>
            <w:r>
              <w:t>≤700元/人/月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享受保洁服务村数</w:t>
            </w:r>
          </w:p>
        </w:tc>
        <w:tc>
          <w:tcPr>
            <w:tcW w:w="5386" w:type="dxa"/>
            <w:vAlign w:val="center"/>
          </w:tcPr>
          <w:p>
            <w:pPr>
              <w:pStyle w:val="12"/>
            </w:pPr>
            <w:r>
              <w:t>享受保障村委会个数</w:t>
            </w:r>
          </w:p>
        </w:tc>
        <w:tc>
          <w:tcPr>
            <w:tcW w:w="2268" w:type="dxa"/>
            <w:vAlign w:val="center"/>
          </w:tcPr>
          <w:p>
            <w:pPr>
              <w:pStyle w:val="12"/>
            </w:pPr>
            <w:r>
              <w:t>42个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经费发放覆盖率</w:t>
            </w:r>
          </w:p>
        </w:tc>
        <w:tc>
          <w:tcPr>
            <w:tcW w:w="5386" w:type="dxa"/>
            <w:vAlign w:val="center"/>
          </w:tcPr>
          <w:p>
            <w:pPr>
              <w:pStyle w:val="12"/>
            </w:pPr>
            <w:r>
              <w:t>实际享受农村保洁员经费人数占全部保洁员人数比率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资金发放到位率</w:t>
            </w:r>
          </w:p>
        </w:tc>
        <w:tc>
          <w:tcPr>
            <w:tcW w:w="5386" w:type="dxa"/>
            <w:vAlign w:val="center"/>
          </w:tcPr>
          <w:p>
            <w:pPr>
              <w:pStyle w:val="12"/>
            </w:pPr>
            <w:r>
              <w:t>全年实际发放金额占应发放资金总额的比率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对村环境卫生工作发挥的作用是否可持续</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保洁耗材损耗率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对公众环境卫生的改善作用</w:t>
            </w:r>
          </w:p>
        </w:tc>
        <w:tc>
          <w:tcPr>
            <w:tcW w:w="5386" w:type="dxa"/>
            <w:vAlign w:val="center"/>
          </w:tcPr>
          <w:p>
            <w:pPr>
              <w:pStyle w:val="12"/>
            </w:pPr>
            <w:r>
              <w:t>村民对环卫服务满意度</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13032226P002252102967</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69.32</w:t>
            </w:r>
          </w:p>
        </w:tc>
        <w:tc>
          <w:tcPr>
            <w:tcW w:w="2835" w:type="dxa"/>
            <w:vAlign w:val="center"/>
          </w:tcPr>
          <w:p>
            <w:pPr>
              <w:pStyle w:val="10"/>
            </w:pPr>
            <w:r>
              <w:t>其中：财政    资金</w:t>
            </w:r>
          </w:p>
        </w:tc>
        <w:tc>
          <w:tcPr>
            <w:tcW w:w="2551" w:type="dxa"/>
            <w:vAlign w:val="center"/>
          </w:tcPr>
          <w:p>
            <w:pPr>
              <w:pStyle w:val="12"/>
            </w:pPr>
            <w:r>
              <w:t>69.32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垃圾清理保洁支出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1.确保农村保洁员资金及时支付，保障保洁工作正常开展。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村庄环境整治资金标准</w:t>
            </w:r>
          </w:p>
        </w:tc>
        <w:tc>
          <w:tcPr>
            <w:tcW w:w="2268" w:type="dxa"/>
            <w:vAlign w:val="center"/>
          </w:tcPr>
          <w:p>
            <w:pPr>
              <w:pStyle w:val="12"/>
            </w:pPr>
            <w:r>
              <w:t>≤5.78万元/月</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42个</w:t>
            </w:r>
          </w:p>
        </w:tc>
        <w:tc>
          <w:tcPr>
            <w:tcW w:w="1276" w:type="dxa"/>
            <w:vAlign w:val="center"/>
          </w:tcPr>
          <w:p>
            <w:pPr>
              <w:pStyle w:val="12"/>
            </w:pPr>
            <w:r>
              <w:t>实有行政村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已整治的区域面积占全区应整治区域面积的比例</w:t>
            </w:r>
          </w:p>
        </w:tc>
        <w:tc>
          <w:tcPr>
            <w:tcW w:w="2268" w:type="dxa"/>
            <w:vAlign w:val="center"/>
          </w:tcPr>
          <w:p>
            <w:pPr>
              <w:pStyle w:val="12"/>
            </w:pPr>
            <w:r>
              <w:t>≥95%</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经费支付及时率</w:t>
            </w:r>
          </w:p>
        </w:tc>
        <w:tc>
          <w:tcPr>
            <w:tcW w:w="5386" w:type="dxa"/>
            <w:vAlign w:val="center"/>
          </w:tcPr>
          <w:p>
            <w:pPr>
              <w:pStyle w:val="12"/>
            </w:pPr>
            <w:r>
              <w:t>及时发放的整治经费占所有经费的比率</w:t>
            </w:r>
          </w:p>
        </w:tc>
        <w:tc>
          <w:tcPr>
            <w:tcW w:w="2268" w:type="dxa"/>
            <w:vAlign w:val="center"/>
          </w:tcPr>
          <w:p>
            <w:pPr>
              <w:pStyle w:val="12"/>
            </w:pPr>
            <w:r>
              <w:t>≥95%</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对农村环境的影响</w:t>
            </w:r>
          </w:p>
        </w:tc>
        <w:tc>
          <w:tcPr>
            <w:tcW w:w="5386" w:type="dxa"/>
            <w:vAlign w:val="center"/>
          </w:tcPr>
          <w:p>
            <w:pPr>
              <w:pStyle w:val="12"/>
            </w:pPr>
            <w:r>
              <w:t>保洁员工作对农村环境的影响</w:t>
            </w:r>
          </w:p>
        </w:tc>
        <w:tc>
          <w:tcPr>
            <w:tcW w:w="2268" w:type="dxa"/>
            <w:vAlign w:val="center"/>
          </w:tcPr>
          <w:p>
            <w:pPr>
              <w:pStyle w:val="12"/>
            </w:pPr>
            <w:r>
              <w:t>较上年提高</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整治工作影响的可持续性</w:t>
            </w:r>
          </w:p>
        </w:tc>
        <w:tc>
          <w:tcPr>
            <w:tcW w:w="5386" w:type="dxa"/>
            <w:vAlign w:val="center"/>
          </w:tcPr>
          <w:p>
            <w:pPr>
              <w:pStyle w:val="12"/>
            </w:pPr>
            <w:r>
              <w:t>整治工作影响的可持续性</w:t>
            </w:r>
          </w:p>
        </w:tc>
        <w:tc>
          <w:tcPr>
            <w:tcW w:w="2268" w:type="dxa"/>
            <w:vAlign w:val="center"/>
          </w:tcPr>
          <w:p>
            <w:pPr>
              <w:pStyle w:val="12"/>
            </w:pPr>
            <w:r>
              <w:t>1年</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对经济发展质量的影响</w:t>
            </w:r>
          </w:p>
        </w:tc>
        <w:tc>
          <w:tcPr>
            <w:tcW w:w="5386" w:type="dxa"/>
            <w:vAlign w:val="center"/>
          </w:tcPr>
          <w:p>
            <w:pPr>
              <w:pStyle w:val="12"/>
            </w:pPr>
            <w:r>
              <w:t>项目实施对经济发展质量的影响</w:t>
            </w:r>
          </w:p>
        </w:tc>
        <w:tc>
          <w:tcPr>
            <w:tcW w:w="2268" w:type="dxa"/>
            <w:vAlign w:val="center"/>
          </w:tcPr>
          <w:p>
            <w:pPr>
              <w:pStyle w:val="12"/>
            </w:pPr>
            <w:r>
              <w:t>较上年提高</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提升新集镇农村人居环境受益人数</w:t>
            </w:r>
          </w:p>
        </w:tc>
        <w:tc>
          <w:tcPr>
            <w:tcW w:w="5386" w:type="dxa"/>
            <w:vAlign w:val="center"/>
          </w:tcPr>
          <w:p>
            <w:pPr>
              <w:pStyle w:val="12"/>
            </w:pPr>
            <w:r>
              <w:t>提升新集镇农村人居环境受益的人口数</w:t>
            </w:r>
          </w:p>
        </w:tc>
        <w:tc>
          <w:tcPr>
            <w:tcW w:w="2268" w:type="dxa"/>
            <w:vAlign w:val="center"/>
          </w:tcPr>
          <w:p>
            <w:pPr>
              <w:pStyle w:val="12"/>
            </w:pPr>
            <w:r>
              <w:t>≥30000人</w:t>
            </w:r>
          </w:p>
        </w:tc>
        <w:tc>
          <w:tcPr>
            <w:tcW w:w="1276" w:type="dxa"/>
            <w:vAlign w:val="center"/>
          </w:tcPr>
          <w:p>
            <w:pPr>
              <w:pStyle w:val="12"/>
            </w:pPr>
            <w:r>
              <w:t>工作计划目标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13032226P00225210298E</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用于综合服务站建设</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1.通过加强农村综合服务站建设，不断提高村级为民服务能力。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经费保障行政村个数</w:t>
            </w:r>
          </w:p>
        </w:tc>
        <w:tc>
          <w:tcPr>
            <w:tcW w:w="5386" w:type="dxa"/>
            <w:vAlign w:val="center"/>
          </w:tcPr>
          <w:p>
            <w:pPr>
              <w:pStyle w:val="12"/>
            </w:pPr>
            <w:r>
              <w:t>经费保障行政村总数</w:t>
            </w:r>
          </w:p>
        </w:tc>
        <w:tc>
          <w:tcPr>
            <w:tcW w:w="2268" w:type="dxa"/>
            <w:vAlign w:val="center"/>
          </w:tcPr>
          <w:p>
            <w:pPr>
              <w:pStyle w:val="12"/>
            </w:pPr>
            <w:r>
              <w:t>42个</w:t>
            </w:r>
          </w:p>
        </w:tc>
        <w:tc>
          <w:tcPr>
            <w:tcW w:w="1276" w:type="dxa"/>
            <w:vAlign w:val="center"/>
          </w:tcPr>
          <w:p>
            <w:pPr>
              <w:pStyle w:val="12"/>
            </w:pPr>
            <w:r>
              <w:t>实有行政村数量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资金发放覆盖率</w:t>
            </w:r>
          </w:p>
        </w:tc>
        <w:tc>
          <w:tcPr>
            <w:tcW w:w="5386" w:type="dxa"/>
            <w:vAlign w:val="center"/>
          </w:tcPr>
          <w:p>
            <w:pPr>
              <w:pStyle w:val="12"/>
            </w:pPr>
            <w:r>
              <w:t>发放项目资金行政村占我镇所有行政村的比例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专项经费发放及占总经费金额的比例</w:t>
            </w:r>
          </w:p>
        </w:tc>
        <w:tc>
          <w:tcPr>
            <w:tcW w:w="2268" w:type="dxa"/>
            <w:vAlign w:val="center"/>
          </w:tcPr>
          <w:p>
            <w:pPr>
              <w:pStyle w:val="12"/>
            </w:pPr>
            <w:r>
              <w:t>≥95%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经费保障标准</w:t>
            </w:r>
          </w:p>
        </w:tc>
        <w:tc>
          <w:tcPr>
            <w:tcW w:w="5386" w:type="dxa"/>
            <w:vAlign w:val="center"/>
          </w:tcPr>
          <w:p>
            <w:pPr>
              <w:pStyle w:val="12"/>
            </w:pPr>
            <w:r>
              <w:t>每个行政村每年保障标准</w:t>
            </w:r>
          </w:p>
        </w:tc>
        <w:tc>
          <w:tcPr>
            <w:tcW w:w="2268" w:type="dxa"/>
            <w:vAlign w:val="center"/>
          </w:tcPr>
          <w:p>
            <w:pPr>
              <w:pStyle w:val="12"/>
            </w:pPr>
            <w:r>
              <w:t>0.5万</w:t>
            </w:r>
          </w:p>
        </w:tc>
        <w:tc>
          <w:tcPr>
            <w:tcW w:w="1276" w:type="dxa"/>
            <w:vAlign w:val="center"/>
          </w:tcPr>
          <w:p>
            <w:pPr>
              <w:pStyle w:val="12"/>
            </w:pPr>
            <w:r>
              <w:t>2026年补助标准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对各村经济发展的影响</w:t>
            </w:r>
          </w:p>
        </w:tc>
        <w:tc>
          <w:tcPr>
            <w:tcW w:w="5386" w:type="dxa"/>
            <w:vAlign w:val="center"/>
          </w:tcPr>
          <w:p>
            <w:pPr>
              <w:pStyle w:val="12"/>
            </w:pPr>
            <w:r>
              <w:t>对各行政村经济发展的影响</w:t>
            </w:r>
          </w:p>
        </w:tc>
        <w:tc>
          <w:tcPr>
            <w:tcW w:w="2268" w:type="dxa"/>
            <w:vAlign w:val="center"/>
          </w:tcPr>
          <w:p>
            <w:pPr>
              <w:pStyle w:val="12"/>
            </w:pPr>
            <w:r>
              <w:t>较上年提高</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对各村内村民关系的影响</w:t>
            </w:r>
          </w:p>
        </w:tc>
        <w:tc>
          <w:tcPr>
            <w:tcW w:w="5386" w:type="dxa"/>
            <w:vAlign w:val="center"/>
          </w:tcPr>
          <w:p>
            <w:pPr>
              <w:pStyle w:val="12"/>
            </w:pPr>
            <w:r>
              <w:t>对各村内村民的影响</w:t>
            </w:r>
          </w:p>
        </w:tc>
        <w:tc>
          <w:tcPr>
            <w:tcW w:w="2268" w:type="dxa"/>
            <w:vAlign w:val="center"/>
          </w:tcPr>
          <w:p>
            <w:pPr>
              <w:pStyle w:val="12"/>
            </w:pPr>
            <w:r>
              <w:t>较上年向上</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节约村集体资源，降低能耗，实现绿色办公</w:t>
            </w:r>
          </w:p>
        </w:tc>
        <w:tc>
          <w:tcPr>
            <w:tcW w:w="2268" w:type="dxa"/>
            <w:vAlign w:val="center"/>
          </w:tcPr>
          <w:p>
            <w:pPr>
              <w:pStyle w:val="12"/>
            </w:pPr>
            <w:r>
              <w:t>较上年降低</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农村综合服务站工作可持续性</w:t>
            </w:r>
          </w:p>
        </w:tc>
        <w:tc>
          <w:tcPr>
            <w:tcW w:w="5386" w:type="dxa"/>
            <w:vAlign w:val="center"/>
          </w:tcPr>
          <w:p>
            <w:pPr>
              <w:pStyle w:val="12"/>
            </w:pPr>
            <w:r>
              <w:t>农村综合服务站工作可持续性</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11、冀财教〔2025〕115号-提前下达2026年中央支持地方文化服务体系建设补助资金（文化站免费开放）绩效目标表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13032226P00217210092W</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公共图书馆、美术馆、文化馆以及乡镇综合体目标文化站全部免费向社会公众开展基本公共文化服务。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w:t>
            </w:r>
          </w:p>
        </w:tc>
        <w:tc>
          <w:tcPr>
            <w:tcW w:w="5386" w:type="dxa"/>
            <w:vAlign w:val="center"/>
          </w:tcPr>
          <w:p>
            <w:pPr>
              <w:pStyle w:val="12"/>
            </w:pPr>
            <w:r>
              <w:t>免费开放场馆(站)组织举办各类展览、培训、讲座等文化活动的数</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全年办公费支出总额</w:t>
            </w:r>
          </w:p>
        </w:tc>
        <w:tc>
          <w:tcPr>
            <w:tcW w:w="2268" w:type="dxa"/>
            <w:vAlign w:val="center"/>
          </w:tcPr>
          <w:p>
            <w:pPr>
              <w:pStyle w:val="12"/>
            </w:pPr>
            <w:r>
              <w:t>3万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满意度指标服务对象满意度指标务的满意度受益群众对免费开放场馆(站)服</w:t>
            </w:r>
          </w:p>
        </w:tc>
        <w:tc>
          <w:tcPr>
            <w:tcW w:w="5386" w:type="dxa"/>
            <w:vAlign w:val="center"/>
          </w:tcPr>
          <w:p>
            <w:pPr>
              <w:pStyle w:val="12"/>
            </w:pPr>
            <w:r>
              <w:t>满意度指标服务对象满意度指标务的满意度受益群众对免费开放场馆(站)服</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13032226P00217210124A</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公共图书馆、美术馆、文化馆以及乡镇综合体目标文化站全部免费向社会公众开展基本公共文化服务。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1.公共图书馆、美术馆、文化馆以及乡镇综合体目标文化站全部免费向社会公众开展基本公共文化服务。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群众参与费开放文化场馆(站)组织活动的人次</w:t>
            </w:r>
          </w:p>
        </w:tc>
        <w:tc>
          <w:tcPr>
            <w:tcW w:w="5386" w:type="dxa"/>
            <w:vAlign w:val="center"/>
          </w:tcPr>
          <w:p>
            <w:pPr>
              <w:pStyle w:val="12"/>
            </w:pPr>
            <w:r>
              <w:t>群众参与费开放文化场馆(站)组织活动的人次</w:t>
            </w:r>
          </w:p>
        </w:tc>
        <w:tc>
          <w:tcPr>
            <w:tcW w:w="2268" w:type="dxa"/>
            <w:vAlign w:val="center"/>
          </w:tcPr>
          <w:p>
            <w:pPr>
              <w:pStyle w:val="12"/>
            </w:pPr>
            <w:r>
              <w:t>≥1次</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全年办公费支出总额</w:t>
            </w:r>
          </w:p>
        </w:tc>
        <w:tc>
          <w:tcPr>
            <w:tcW w:w="2268" w:type="dxa"/>
            <w:vAlign w:val="center"/>
          </w:tcPr>
          <w:p>
            <w:pPr>
              <w:pStyle w:val="12"/>
            </w:pPr>
            <w:r>
              <w:t>0.5万</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≥1%</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受益群众对免费开放场馆(站)服务的满意度占比</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13032226P002252104105</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298.10</w:t>
            </w:r>
          </w:p>
        </w:tc>
        <w:tc>
          <w:tcPr>
            <w:tcW w:w="2835" w:type="dxa"/>
            <w:vAlign w:val="center"/>
          </w:tcPr>
          <w:p>
            <w:pPr>
              <w:pStyle w:val="10"/>
            </w:pPr>
            <w:r>
              <w:t>其中：财政    资金</w:t>
            </w:r>
          </w:p>
        </w:tc>
        <w:tc>
          <w:tcPr>
            <w:tcW w:w="2551" w:type="dxa"/>
            <w:vAlign w:val="center"/>
          </w:tcPr>
          <w:p>
            <w:pPr>
              <w:pStyle w:val="12"/>
            </w:pPr>
            <w:r>
              <w:t>298.10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用于发放2026年其他村两委基础补贴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1.保证其他村两委干部基础补贴，村级组织正常运行。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≥168人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其他村两委补助标准</w:t>
            </w:r>
          </w:p>
        </w:tc>
        <w:tc>
          <w:tcPr>
            <w:tcW w:w="5386" w:type="dxa"/>
            <w:vAlign w:val="center"/>
          </w:tcPr>
          <w:p>
            <w:pPr>
              <w:pStyle w:val="12"/>
            </w:pPr>
            <w:r>
              <w:t>村干部正职年全年补贴标准</w:t>
            </w:r>
          </w:p>
        </w:tc>
        <w:tc>
          <w:tcPr>
            <w:tcW w:w="2268" w:type="dxa"/>
            <w:vAlign w:val="center"/>
          </w:tcPr>
          <w:p>
            <w:pPr>
              <w:pStyle w:val="12"/>
            </w:pPr>
            <w:r>
              <w:t>12420.84元</w:t>
            </w:r>
          </w:p>
        </w:tc>
        <w:tc>
          <w:tcPr>
            <w:tcW w:w="1276" w:type="dxa"/>
            <w:vAlign w:val="center"/>
          </w:tcPr>
          <w:p>
            <w:pPr>
              <w:pStyle w:val="12"/>
            </w:pPr>
            <w:r>
              <w:t>其他村两委补助标准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全年集体经济收入比上年增长数占上年收入数的比例</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发放村干部工资补贴，提高村级行政单位办公能力</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13032226P00230310031L</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用于2026年人大工作支出。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1.通过项目资金及时支付，达到保证镇、村人大代表工作正常开展的效果。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正常履职人大代表职能人数占区域内人大代表总数的比例</w:t>
            </w:r>
          </w:p>
        </w:tc>
        <w:tc>
          <w:tcPr>
            <w:tcW w:w="2268" w:type="dxa"/>
            <w:vAlign w:val="center"/>
          </w:tcPr>
          <w:p>
            <w:pPr>
              <w:pStyle w:val="12"/>
            </w:pPr>
            <w:r>
              <w:t>≥90%</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及时支付人大经费金额占实际到位金额的比例</w:t>
            </w:r>
          </w:p>
        </w:tc>
        <w:tc>
          <w:tcPr>
            <w:tcW w:w="2268" w:type="dxa"/>
            <w:vAlign w:val="center"/>
          </w:tcPr>
          <w:p>
            <w:pPr>
              <w:pStyle w:val="12"/>
            </w:pPr>
            <w:r>
              <w:t>≥90%</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人大代表之家成本</w:t>
            </w:r>
          </w:p>
        </w:tc>
        <w:tc>
          <w:tcPr>
            <w:tcW w:w="5386" w:type="dxa"/>
            <w:vAlign w:val="center"/>
          </w:tcPr>
          <w:p>
            <w:pPr>
              <w:pStyle w:val="12"/>
            </w:pPr>
            <w:r>
              <w:t>人大代表之家项目资金全年补助标准</w:t>
            </w:r>
          </w:p>
        </w:tc>
        <w:tc>
          <w:tcPr>
            <w:tcW w:w="2268" w:type="dxa"/>
            <w:vAlign w:val="center"/>
          </w:tcPr>
          <w:p>
            <w:pPr>
              <w:pStyle w:val="12"/>
            </w:pPr>
            <w:r>
              <w:t>2万</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≥2%</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较上年提高</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人大工作目标计划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13032226P002123100352</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用于2026年武装工作支出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1.通过项目资金及时支付，达到保证镇武装工作、民兵训练工作顺利进行的效果。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已开展武装宣传工作村数占应开展武装宣传工作村数的比例</w:t>
            </w:r>
          </w:p>
        </w:tc>
        <w:tc>
          <w:tcPr>
            <w:tcW w:w="2268" w:type="dxa"/>
            <w:vAlign w:val="center"/>
          </w:tcPr>
          <w:p>
            <w:pPr>
              <w:pStyle w:val="12"/>
            </w:pPr>
            <w:r>
              <w:t>≥90%</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按时限要求支付武装经费的金额占实际到位武装经费的比例</w:t>
            </w:r>
          </w:p>
        </w:tc>
        <w:tc>
          <w:tcPr>
            <w:tcW w:w="2268" w:type="dxa"/>
            <w:vAlign w:val="center"/>
          </w:tcPr>
          <w:p>
            <w:pPr>
              <w:pStyle w:val="12"/>
            </w:pPr>
            <w:r>
              <w:t>≥90%</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提高我镇武装工作收入</w:t>
            </w:r>
          </w:p>
        </w:tc>
        <w:tc>
          <w:tcPr>
            <w:tcW w:w="2268" w:type="dxa"/>
            <w:vAlign w:val="center"/>
          </w:tcPr>
          <w:p>
            <w:pPr>
              <w:pStyle w:val="12"/>
            </w:pPr>
            <w:r>
              <w:t>≥2%</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≥42人</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武装工作目标计划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13032226P00212610091U</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24.87</w:t>
            </w:r>
          </w:p>
        </w:tc>
        <w:tc>
          <w:tcPr>
            <w:tcW w:w="2835" w:type="dxa"/>
            <w:vAlign w:val="center"/>
          </w:tcPr>
          <w:p>
            <w:pPr>
              <w:pStyle w:val="10"/>
            </w:pPr>
            <w:r>
              <w:t>其中：财政    资金</w:t>
            </w:r>
          </w:p>
        </w:tc>
        <w:tc>
          <w:tcPr>
            <w:tcW w:w="2551" w:type="dxa"/>
            <w:vAlign w:val="center"/>
          </w:tcPr>
          <w:p>
            <w:pPr>
              <w:pStyle w:val="12"/>
            </w:pPr>
            <w:r>
              <w:t>24.87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平均每月完成信访维稳的人次数</w:t>
            </w:r>
          </w:p>
        </w:tc>
        <w:tc>
          <w:tcPr>
            <w:tcW w:w="2268" w:type="dxa"/>
            <w:vAlign w:val="center"/>
          </w:tcPr>
          <w:p>
            <w:pPr>
              <w:pStyle w:val="12"/>
            </w:pPr>
            <w:r>
              <w:t>≤5人</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≤24.8万元</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较上年提高</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办公期间节约水电等能源，降低能耗</w:t>
            </w:r>
          </w:p>
        </w:tc>
        <w:tc>
          <w:tcPr>
            <w:tcW w:w="2268" w:type="dxa"/>
            <w:vAlign w:val="center"/>
          </w:tcPr>
          <w:p>
            <w:pPr>
              <w:pStyle w:val="12"/>
            </w:pPr>
            <w:r>
              <w:t>较上年降低</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信访工作目标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信访工作目标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13032226P002252102940</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30.31</w:t>
            </w:r>
          </w:p>
        </w:tc>
        <w:tc>
          <w:tcPr>
            <w:tcW w:w="2835" w:type="dxa"/>
            <w:vAlign w:val="center"/>
          </w:tcPr>
          <w:p>
            <w:pPr>
              <w:pStyle w:val="10"/>
            </w:pPr>
            <w:r>
              <w:t>其中：财政    资金</w:t>
            </w:r>
          </w:p>
        </w:tc>
        <w:tc>
          <w:tcPr>
            <w:tcW w:w="2551" w:type="dxa"/>
            <w:vAlign w:val="center"/>
          </w:tcPr>
          <w:p>
            <w:pPr>
              <w:pStyle w:val="12"/>
            </w:pPr>
            <w:r>
              <w:t>30.31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用于支付2026年离任村干部补贴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1.通过发放离任村干部生活补助，提高离任村干部的生活水平。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≤115人</w:t>
            </w:r>
          </w:p>
        </w:tc>
        <w:tc>
          <w:tcPr>
            <w:tcW w:w="1276" w:type="dxa"/>
            <w:vAlign w:val="center"/>
          </w:tcPr>
          <w:p>
            <w:pPr>
              <w:pStyle w:val="12"/>
            </w:pPr>
            <w:r>
              <w:t>实有人数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≥95%</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≥95%</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离任村干部每年的工龄补助标准</w:t>
            </w:r>
          </w:p>
        </w:tc>
        <w:tc>
          <w:tcPr>
            <w:tcW w:w="2268" w:type="dxa"/>
            <w:vAlign w:val="center"/>
          </w:tcPr>
          <w:p>
            <w:pPr>
              <w:pStyle w:val="12"/>
            </w:pPr>
            <w:r>
              <w:t>240元</w:t>
            </w:r>
          </w:p>
        </w:tc>
        <w:tc>
          <w:tcPr>
            <w:tcW w:w="1276" w:type="dxa"/>
            <w:vAlign w:val="center"/>
          </w:tcPr>
          <w:p>
            <w:pPr>
              <w:pStyle w:val="12"/>
            </w:pPr>
            <w:r>
              <w:t>补助政策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全年离任村干部人均收入增加额</w:t>
            </w:r>
          </w:p>
        </w:tc>
        <w:tc>
          <w:tcPr>
            <w:tcW w:w="2268" w:type="dxa"/>
            <w:vAlign w:val="center"/>
          </w:tcPr>
          <w:p>
            <w:pPr>
              <w:pStyle w:val="12"/>
            </w:pPr>
            <w:r>
              <w:t>≥3%</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工作目标计划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819昌黎县新集镇人民政府</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昌黎县新集镇人民政府（含所属单位）上年末固定资产金额为322.04万元（详见下表）。本年度拟购置固定资产总额为0.00万元，已按要求列入政府采购预算，详见政府采购预算表。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819昌黎县新集镇人民政府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3127.96</w:t>
            </w:r>
          </w:p>
        </w:tc>
        <w:tc>
          <w:tcPr>
            <w:tcW w:w="2835" w:type="dxa"/>
            <w:vAlign w:val="center"/>
          </w:tcPr>
          <w:p>
            <w:pPr>
              <w:pStyle w:val="11"/>
            </w:pPr>
            <w:r>
              <w:t>172.56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1440</w:t>
            </w:r>
          </w:p>
        </w:tc>
        <w:tc>
          <w:tcPr>
            <w:tcW w:w="2835" w:type="dxa"/>
            <w:vAlign w:val="center"/>
          </w:tcPr>
          <w:p>
            <w:pPr>
              <w:pStyle w:val="11"/>
            </w:pPr>
            <w:r>
              <w:t>120.31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588</w:t>
            </w:r>
          </w:p>
        </w:tc>
        <w:tc>
          <w:tcPr>
            <w:tcW w:w="2835" w:type="dxa"/>
            <w:vAlign w:val="center"/>
          </w:tcPr>
          <w:p>
            <w:pPr>
              <w:pStyle w:val="11"/>
            </w:pPr>
            <w:r>
              <w:t>132.03</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53185"/>
    <w:rsid w:val="00053185"/>
    <w:rsid w:val="000538E9"/>
    <w:rsid w:val="001F0FC7"/>
    <w:rsid w:val="008E013F"/>
    <w:rsid w:val="00C775E4"/>
    <w:rsid w:val="00D12BF2"/>
    <w:rsid w:val="0D0153F0"/>
    <w:rsid w:val="11F11918"/>
    <w:rsid w:val="570E073E"/>
    <w:rsid w:val="7E47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电脑、安防、网络工程</Company>
  <Pages>51</Pages>
  <Words>4158</Words>
  <Characters>23705</Characters>
  <Lines>197</Lines>
  <Paragraphs>55</Paragraphs>
  <TotalTime>5</TotalTime>
  <ScaleCrop>false</ScaleCrop>
  <LinksUpToDate>false</LinksUpToDate>
  <CharactersWithSpaces>27808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2026-02-06T07:09:17Z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4301835AEBCE43ED82212B8633C8D282</vt:lpwstr>
  </property>
</Properties>
</file>