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一、昌黎县新集镇人民政府本级收支预算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一、昌黎县新集镇人民政府本级收支预算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819001昌黎县新集镇人民政府本级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2573.44</w:t>
            </w:r>
          </w:p>
        </w:tc>
        <w:tc>
          <w:tcPr>
            <w:tcW w:w="4535" w:type="dxa"/>
            <w:vAlign w:val="center"/>
          </w:tcPr>
          <w:p>
            <w:pPr>
              <w:pStyle w:val="12"/>
            </w:pPr>
            <w:r>
              <w:t>一、一般公共服务支出</w:t>
            </w:r>
          </w:p>
        </w:tc>
        <w:tc>
          <w:tcPr>
            <w:tcW w:w="2126" w:type="dxa"/>
            <w:vAlign w:val="center"/>
          </w:tcPr>
          <w:p>
            <w:pPr>
              <w:pStyle w:val="11"/>
            </w:pPr>
            <w:r>
              <w:t>1313.48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200.58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92.95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795.70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2573.44</w:t>
            </w:r>
          </w:p>
        </w:tc>
        <w:tc>
          <w:tcPr>
            <w:tcW w:w="4535" w:type="dxa"/>
            <w:vAlign w:val="center"/>
          </w:tcPr>
          <w:p>
            <w:pPr>
              <w:pStyle w:val="14"/>
            </w:pPr>
            <w:r>
              <w:t>本年支出合计</w:t>
            </w:r>
          </w:p>
        </w:tc>
        <w:tc>
          <w:tcPr>
            <w:tcW w:w="2126" w:type="dxa"/>
            <w:vAlign w:val="center"/>
          </w:tcPr>
          <w:p>
            <w:pPr>
              <w:pStyle w:val="15"/>
            </w:pPr>
            <w:r>
              <w:t>2573.44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2573.44</w:t>
            </w:r>
          </w:p>
        </w:tc>
        <w:tc>
          <w:tcPr>
            <w:tcW w:w="4535" w:type="dxa"/>
            <w:vAlign w:val="center"/>
          </w:tcPr>
          <w:p>
            <w:pPr>
              <w:pStyle w:val="14"/>
            </w:pPr>
            <w:r>
              <w:t>支出总计</w:t>
            </w:r>
          </w:p>
        </w:tc>
        <w:tc>
          <w:tcPr>
            <w:tcW w:w="2126" w:type="dxa"/>
            <w:vAlign w:val="center"/>
          </w:tcPr>
          <w:p>
            <w:pPr>
              <w:pStyle w:val="15"/>
            </w:pPr>
            <w:r>
              <w:t>2573.44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819001昌黎县新集镇人民政府本级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2573.44</w:t>
            </w:r>
          </w:p>
        </w:tc>
        <w:tc>
          <w:tcPr>
            <w:tcW w:w="1134" w:type="dxa"/>
            <w:vAlign w:val="center"/>
          </w:tcPr>
          <w:p>
            <w:pPr>
              <w:pStyle w:val="15"/>
            </w:pPr>
            <w:r>
              <w:t>2573.44</w:t>
            </w:r>
          </w:p>
        </w:tc>
        <w:tc>
          <w:tcPr>
            <w:tcW w:w="1134" w:type="dxa"/>
            <w:vAlign w:val="center"/>
          </w:tcPr>
          <w:p>
            <w:pPr>
              <w:pStyle w:val="15"/>
            </w:pPr>
            <w:r>
              <w:t>2573.44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1313.48</w:t>
            </w:r>
          </w:p>
        </w:tc>
        <w:tc>
          <w:tcPr>
            <w:tcW w:w="1134" w:type="dxa"/>
            <w:vAlign w:val="center"/>
          </w:tcPr>
          <w:p>
            <w:pPr>
              <w:pStyle w:val="11"/>
            </w:pPr>
            <w:r>
              <w:t>1313.48</w:t>
            </w:r>
          </w:p>
        </w:tc>
        <w:tc>
          <w:tcPr>
            <w:tcW w:w="1134" w:type="dxa"/>
            <w:vAlign w:val="center"/>
          </w:tcPr>
          <w:p>
            <w:pPr>
              <w:pStyle w:val="11"/>
            </w:pPr>
            <w:r>
              <w:t>1313.48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t>代表工作</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1286.61</w:t>
            </w:r>
          </w:p>
        </w:tc>
        <w:tc>
          <w:tcPr>
            <w:tcW w:w="1134" w:type="dxa"/>
            <w:vAlign w:val="center"/>
          </w:tcPr>
          <w:p>
            <w:pPr>
              <w:pStyle w:val="11"/>
            </w:pPr>
            <w:r>
              <w:t>1286.61</w:t>
            </w:r>
          </w:p>
        </w:tc>
        <w:tc>
          <w:tcPr>
            <w:tcW w:w="1134" w:type="dxa"/>
            <w:vAlign w:val="center"/>
          </w:tcPr>
          <w:p>
            <w:pPr>
              <w:pStyle w:val="11"/>
            </w:pPr>
            <w:r>
              <w:t>1286.61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446.62</w:t>
            </w:r>
          </w:p>
        </w:tc>
        <w:tc>
          <w:tcPr>
            <w:tcW w:w="1134" w:type="dxa"/>
            <w:vAlign w:val="center"/>
          </w:tcPr>
          <w:p>
            <w:pPr>
              <w:pStyle w:val="11"/>
            </w:pPr>
            <w:r>
              <w:t>446.62</w:t>
            </w:r>
          </w:p>
        </w:tc>
        <w:tc>
          <w:tcPr>
            <w:tcW w:w="1134" w:type="dxa"/>
            <w:vAlign w:val="center"/>
          </w:tcPr>
          <w:p>
            <w:pPr>
              <w:pStyle w:val="11"/>
            </w:pPr>
            <w:r>
              <w:t>446.62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837.99</w:t>
            </w:r>
          </w:p>
        </w:tc>
        <w:tc>
          <w:tcPr>
            <w:tcW w:w="1134" w:type="dxa"/>
            <w:vAlign w:val="center"/>
          </w:tcPr>
          <w:p>
            <w:pPr>
              <w:pStyle w:val="11"/>
            </w:pPr>
            <w:r>
              <w:t>837.99</w:t>
            </w:r>
          </w:p>
        </w:tc>
        <w:tc>
          <w:tcPr>
            <w:tcW w:w="1134" w:type="dxa"/>
            <w:vAlign w:val="center"/>
          </w:tcPr>
          <w:p>
            <w:pPr>
              <w:pStyle w:val="11"/>
            </w:pPr>
            <w:r>
              <w:t>837.99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24.87</w:t>
            </w:r>
          </w:p>
        </w:tc>
        <w:tc>
          <w:tcPr>
            <w:tcW w:w="1134" w:type="dxa"/>
            <w:vAlign w:val="center"/>
          </w:tcPr>
          <w:p>
            <w:pPr>
              <w:pStyle w:val="11"/>
            </w:pPr>
            <w:r>
              <w:t>24.87</w:t>
            </w:r>
          </w:p>
        </w:tc>
        <w:tc>
          <w:tcPr>
            <w:tcW w:w="1134" w:type="dxa"/>
            <w:vAlign w:val="center"/>
          </w:tcPr>
          <w:p>
            <w:pPr>
              <w:pStyle w:val="11"/>
            </w:pPr>
            <w:r>
              <w:t>24.87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24.87</w:t>
            </w:r>
          </w:p>
        </w:tc>
        <w:tc>
          <w:tcPr>
            <w:tcW w:w="1134" w:type="dxa"/>
            <w:vAlign w:val="center"/>
          </w:tcPr>
          <w:p>
            <w:pPr>
              <w:pStyle w:val="11"/>
            </w:pPr>
            <w:r>
              <w:t>24.87</w:t>
            </w:r>
          </w:p>
        </w:tc>
        <w:tc>
          <w:tcPr>
            <w:tcW w:w="1134" w:type="dxa"/>
            <w:vAlign w:val="center"/>
          </w:tcPr>
          <w:p>
            <w:pPr>
              <w:pStyle w:val="11"/>
            </w:pPr>
            <w:r>
              <w:t>24.87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2050201</w:t>
            </w:r>
          </w:p>
        </w:tc>
        <w:tc>
          <w:tcPr>
            <w:tcW w:w="1559" w:type="dxa"/>
            <w:vAlign w:val="center"/>
          </w:tcPr>
          <w:p>
            <w:pPr>
              <w:pStyle w:val="12"/>
            </w:pPr>
            <w:r>
              <w:t>学前教育</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200.58</w:t>
            </w:r>
          </w:p>
        </w:tc>
        <w:tc>
          <w:tcPr>
            <w:tcW w:w="1134" w:type="dxa"/>
            <w:vAlign w:val="center"/>
          </w:tcPr>
          <w:p>
            <w:pPr>
              <w:pStyle w:val="11"/>
            </w:pPr>
            <w:r>
              <w:t>200.58</w:t>
            </w:r>
          </w:p>
        </w:tc>
        <w:tc>
          <w:tcPr>
            <w:tcW w:w="1134" w:type="dxa"/>
            <w:vAlign w:val="center"/>
          </w:tcPr>
          <w:p>
            <w:pPr>
              <w:pStyle w:val="11"/>
            </w:pPr>
            <w:r>
              <w:t>200.58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200.58</w:t>
            </w:r>
          </w:p>
        </w:tc>
        <w:tc>
          <w:tcPr>
            <w:tcW w:w="1134" w:type="dxa"/>
            <w:vAlign w:val="center"/>
          </w:tcPr>
          <w:p>
            <w:pPr>
              <w:pStyle w:val="11"/>
            </w:pPr>
            <w:r>
              <w:t>200.58</w:t>
            </w:r>
          </w:p>
        </w:tc>
        <w:tc>
          <w:tcPr>
            <w:tcW w:w="1134" w:type="dxa"/>
            <w:vAlign w:val="center"/>
          </w:tcPr>
          <w:p>
            <w:pPr>
              <w:pStyle w:val="11"/>
            </w:pPr>
            <w:r>
              <w:t>200.58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155.86</w:t>
            </w:r>
          </w:p>
        </w:tc>
        <w:tc>
          <w:tcPr>
            <w:tcW w:w="1134" w:type="dxa"/>
            <w:vAlign w:val="center"/>
          </w:tcPr>
          <w:p>
            <w:pPr>
              <w:pStyle w:val="11"/>
            </w:pPr>
            <w:r>
              <w:t>155.86</w:t>
            </w:r>
          </w:p>
        </w:tc>
        <w:tc>
          <w:tcPr>
            <w:tcW w:w="1134" w:type="dxa"/>
            <w:vAlign w:val="center"/>
          </w:tcPr>
          <w:p>
            <w:pPr>
              <w:pStyle w:val="11"/>
            </w:pPr>
            <w:r>
              <w:t>155.86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44.72</w:t>
            </w:r>
          </w:p>
        </w:tc>
        <w:tc>
          <w:tcPr>
            <w:tcW w:w="1134" w:type="dxa"/>
            <w:vAlign w:val="center"/>
          </w:tcPr>
          <w:p>
            <w:pPr>
              <w:pStyle w:val="11"/>
            </w:pPr>
            <w:r>
              <w:t>44.72</w:t>
            </w:r>
          </w:p>
        </w:tc>
        <w:tc>
          <w:tcPr>
            <w:tcW w:w="1134" w:type="dxa"/>
            <w:vAlign w:val="center"/>
          </w:tcPr>
          <w:p>
            <w:pPr>
              <w:pStyle w:val="11"/>
            </w:pPr>
            <w:r>
              <w:t>44.72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82.50</w:t>
            </w:r>
          </w:p>
        </w:tc>
        <w:tc>
          <w:tcPr>
            <w:tcW w:w="1134" w:type="dxa"/>
            <w:vAlign w:val="center"/>
          </w:tcPr>
          <w:p>
            <w:pPr>
              <w:pStyle w:val="11"/>
            </w:pPr>
            <w:r>
              <w:t>82.50</w:t>
            </w:r>
          </w:p>
        </w:tc>
        <w:tc>
          <w:tcPr>
            <w:tcW w:w="1134" w:type="dxa"/>
            <w:vAlign w:val="center"/>
          </w:tcPr>
          <w:p>
            <w:pPr>
              <w:pStyle w:val="11"/>
            </w:pPr>
            <w:r>
              <w:t>82.50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7.01</w:t>
            </w:r>
          </w:p>
        </w:tc>
        <w:tc>
          <w:tcPr>
            <w:tcW w:w="1134" w:type="dxa"/>
            <w:vAlign w:val="center"/>
          </w:tcPr>
          <w:p>
            <w:pPr>
              <w:pStyle w:val="11"/>
            </w:pPr>
            <w:r>
              <w:t>7.01</w:t>
            </w:r>
          </w:p>
        </w:tc>
        <w:tc>
          <w:tcPr>
            <w:tcW w:w="1134" w:type="dxa"/>
            <w:vAlign w:val="center"/>
          </w:tcPr>
          <w:p>
            <w:pPr>
              <w:pStyle w:val="11"/>
            </w:pPr>
            <w:r>
              <w:t>7.01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2100799</w:t>
            </w:r>
          </w:p>
        </w:tc>
        <w:tc>
          <w:tcPr>
            <w:tcW w:w="1559" w:type="dxa"/>
            <w:vAlign w:val="center"/>
          </w:tcPr>
          <w:p>
            <w:pPr>
              <w:pStyle w:val="12"/>
            </w:pPr>
            <w:r>
              <w:t>其他计划生育事务支出</w:t>
            </w:r>
          </w:p>
        </w:tc>
        <w:tc>
          <w:tcPr>
            <w:tcW w:w="1134" w:type="dxa"/>
            <w:vAlign w:val="center"/>
          </w:tcPr>
          <w:p>
            <w:pPr>
              <w:pStyle w:val="11"/>
            </w:pPr>
            <w:r>
              <w:t>7.01</w:t>
            </w:r>
          </w:p>
        </w:tc>
        <w:tc>
          <w:tcPr>
            <w:tcW w:w="1134" w:type="dxa"/>
            <w:vAlign w:val="center"/>
          </w:tcPr>
          <w:p>
            <w:pPr>
              <w:pStyle w:val="11"/>
            </w:pPr>
            <w:r>
              <w:t>7.01</w:t>
            </w:r>
          </w:p>
        </w:tc>
        <w:tc>
          <w:tcPr>
            <w:tcW w:w="1134" w:type="dxa"/>
            <w:vAlign w:val="center"/>
          </w:tcPr>
          <w:p>
            <w:pPr>
              <w:pStyle w:val="11"/>
            </w:pPr>
            <w:r>
              <w:t>7.01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75.50</w:t>
            </w:r>
          </w:p>
        </w:tc>
        <w:tc>
          <w:tcPr>
            <w:tcW w:w="1134" w:type="dxa"/>
            <w:vAlign w:val="center"/>
          </w:tcPr>
          <w:p>
            <w:pPr>
              <w:pStyle w:val="11"/>
            </w:pPr>
            <w:r>
              <w:t>75.50</w:t>
            </w:r>
          </w:p>
        </w:tc>
        <w:tc>
          <w:tcPr>
            <w:tcW w:w="1134" w:type="dxa"/>
            <w:vAlign w:val="center"/>
          </w:tcPr>
          <w:p>
            <w:pPr>
              <w:pStyle w:val="11"/>
            </w:pPr>
            <w:r>
              <w:t>75.50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18.67</w:t>
            </w:r>
          </w:p>
        </w:tc>
        <w:tc>
          <w:tcPr>
            <w:tcW w:w="1134" w:type="dxa"/>
            <w:vAlign w:val="center"/>
          </w:tcPr>
          <w:p>
            <w:pPr>
              <w:pStyle w:val="11"/>
            </w:pPr>
            <w:r>
              <w:t>18.67</w:t>
            </w:r>
          </w:p>
        </w:tc>
        <w:tc>
          <w:tcPr>
            <w:tcW w:w="1134" w:type="dxa"/>
            <w:vAlign w:val="center"/>
          </w:tcPr>
          <w:p>
            <w:pPr>
              <w:pStyle w:val="11"/>
            </w:pPr>
            <w:r>
              <w:t>18.67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56.82</w:t>
            </w:r>
          </w:p>
        </w:tc>
        <w:tc>
          <w:tcPr>
            <w:tcW w:w="1134" w:type="dxa"/>
            <w:vAlign w:val="center"/>
          </w:tcPr>
          <w:p>
            <w:pPr>
              <w:pStyle w:val="11"/>
            </w:pPr>
            <w:r>
              <w:t>56.82</w:t>
            </w:r>
          </w:p>
        </w:tc>
        <w:tc>
          <w:tcPr>
            <w:tcW w:w="1134" w:type="dxa"/>
            <w:vAlign w:val="center"/>
          </w:tcPr>
          <w:p>
            <w:pPr>
              <w:pStyle w:val="11"/>
            </w:pPr>
            <w:r>
              <w:t>56.82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92.95</w:t>
            </w:r>
          </w:p>
        </w:tc>
        <w:tc>
          <w:tcPr>
            <w:tcW w:w="1134" w:type="dxa"/>
            <w:vAlign w:val="center"/>
          </w:tcPr>
          <w:p>
            <w:pPr>
              <w:pStyle w:val="11"/>
            </w:pPr>
            <w:r>
              <w:t>92.95</w:t>
            </w:r>
          </w:p>
        </w:tc>
        <w:tc>
          <w:tcPr>
            <w:tcW w:w="1134" w:type="dxa"/>
            <w:vAlign w:val="center"/>
          </w:tcPr>
          <w:p>
            <w:pPr>
              <w:pStyle w:val="11"/>
            </w:pPr>
            <w:r>
              <w:t>92.95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92.95</w:t>
            </w:r>
          </w:p>
        </w:tc>
        <w:tc>
          <w:tcPr>
            <w:tcW w:w="1134" w:type="dxa"/>
            <w:vAlign w:val="center"/>
          </w:tcPr>
          <w:p>
            <w:pPr>
              <w:pStyle w:val="11"/>
            </w:pPr>
            <w:r>
              <w:t>92.95</w:t>
            </w:r>
          </w:p>
        </w:tc>
        <w:tc>
          <w:tcPr>
            <w:tcW w:w="1134" w:type="dxa"/>
            <w:vAlign w:val="center"/>
          </w:tcPr>
          <w:p>
            <w:pPr>
              <w:pStyle w:val="11"/>
            </w:pPr>
            <w:r>
              <w:t>92.95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92.95</w:t>
            </w:r>
          </w:p>
        </w:tc>
        <w:tc>
          <w:tcPr>
            <w:tcW w:w="1134" w:type="dxa"/>
            <w:vAlign w:val="center"/>
          </w:tcPr>
          <w:p>
            <w:pPr>
              <w:pStyle w:val="11"/>
            </w:pPr>
            <w:r>
              <w:t>92.95</w:t>
            </w:r>
          </w:p>
        </w:tc>
        <w:tc>
          <w:tcPr>
            <w:tcW w:w="1134" w:type="dxa"/>
            <w:vAlign w:val="center"/>
          </w:tcPr>
          <w:p>
            <w:pPr>
              <w:pStyle w:val="11"/>
            </w:pPr>
            <w:r>
              <w:t>92.95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795.70</w:t>
            </w:r>
          </w:p>
        </w:tc>
        <w:tc>
          <w:tcPr>
            <w:tcW w:w="1134" w:type="dxa"/>
            <w:vAlign w:val="center"/>
          </w:tcPr>
          <w:p>
            <w:pPr>
              <w:pStyle w:val="11"/>
            </w:pPr>
            <w:r>
              <w:t>795.70</w:t>
            </w:r>
          </w:p>
        </w:tc>
        <w:tc>
          <w:tcPr>
            <w:tcW w:w="1134" w:type="dxa"/>
            <w:vAlign w:val="center"/>
          </w:tcPr>
          <w:p>
            <w:pPr>
              <w:pStyle w:val="11"/>
            </w:pPr>
            <w:r>
              <w:t>795.70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795.70</w:t>
            </w:r>
          </w:p>
        </w:tc>
        <w:tc>
          <w:tcPr>
            <w:tcW w:w="1134" w:type="dxa"/>
            <w:vAlign w:val="center"/>
          </w:tcPr>
          <w:p>
            <w:pPr>
              <w:pStyle w:val="11"/>
            </w:pPr>
            <w:r>
              <w:t>795.70</w:t>
            </w:r>
          </w:p>
        </w:tc>
        <w:tc>
          <w:tcPr>
            <w:tcW w:w="1134" w:type="dxa"/>
            <w:vAlign w:val="center"/>
          </w:tcPr>
          <w:p>
            <w:pPr>
              <w:pStyle w:val="11"/>
            </w:pPr>
            <w:r>
              <w:t>795.70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795.70</w:t>
            </w:r>
          </w:p>
        </w:tc>
        <w:tc>
          <w:tcPr>
            <w:tcW w:w="1134" w:type="dxa"/>
            <w:vAlign w:val="center"/>
          </w:tcPr>
          <w:p>
            <w:pPr>
              <w:pStyle w:val="11"/>
            </w:pPr>
            <w:r>
              <w:t>795.70</w:t>
            </w:r>
          </w:p>
        </w:tc>
        <w:tc>
          <w:tcPr>
            <w:tcW w:w="1134" w:type="dxa"/>
            <w:vAlign w:val="center"/>
          </w:tcPr>
          <w:p>
            <w:pPr>
              <w:pStyle w:val="11"/>
            </w:pPr>
            <w:r>
              <w:t>795.70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77.93</w:t>
            </w:r>
          </w:p>
        </w:tc>
        <w:tc>
          <w:tcPr>
            <w:tcW w:w="1134" w:type="dxa"/>
            <w:vAlign w:val="center"/>
          </w:tcPr>
          <w:p>
            <w:pPr>
              <w:pStyle w:val="11"/>
            </w:pPr>
            <w:r>
              <w:t>77.93</w:t>
            </w:r>
          </w:p>
        </w:tc>
        <w:tc>
          <w:tcPr>
            <w:tcW w:w="1134" w:type="dxa"/>
            <w:vAlign w:val="center"/>
          </w:tcPr>
          <w:p>
            <w:pPr>
              <w:pStyle w:val="11"/>
            </w:pPr>
            <w:r>
              <w:t>77.93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77.93</w:t>
            </w:r>
          </w:p>
        </w:tc>
        <w:tc>
          <w:tcPr>
            <w:tcW w:w="1134" w:type="dxa"/>
            <w:vAlign w:val="center"/>
          </w:tcPr>
          <w:p>
            <w:pPr>
              <w:pStyle w:val="11"/>
            </w:pPr>
            <w:r>
              <w:t>77.93</w:t>
            </w:r>
          </w:p>
        </w:tc>
        <w:tc>
          <w:tcPr>
            <w:tcW w:w="1134" w:type="dxa"/>
            <w:vAlign w:val="center"/>
          </w:tcPr>
          <w:p>
            <w:pPr>
              <w:pStyle w:val="11"/>
            </w:pPr>
            <w:r>
              <w:t>77.93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77.93</w:t>
            </w:r>
          </w:p>
        </w:tc>
        <w:tc>
          <w:tcPr>
            <w:tcW w:w="1134" w:type="dxa"/>
            <w:vAlign w:val="center"/>
          </w:tcPr>
          <w:p>
            <w:pPr>
              <w:pStyle w:val="11"/>
            </w:pPr>
            <w:r>
              <w:t>77.93</w:t>
            </w:r>
          </w:p>
        </w:tc>
        <w:tc>
          <w:tcPr>
            <w:tcW w:w="1134" w:type="dxa"/>
            <w:vAlign w:val="center"/>
          </w:tcPr>
          <w:p>
            <w:pPr>
              <w:pStyle w:val="11"/>
            </w:pPr>
            <w:r>
              <w:t>77.93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819001昌黎县新集镇人民政府本级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2573.44</w:t>
            </w:r>
          </w:p>
        </w:tc>
        <w:tc>
          <w:tcPr>
            <w:tcW w:w="1361" w:type="dxa"/>
            <w:vAlign w:val="center"/>
          </w:tcPr>
          <w:p>
            <w:pPr>
              <w:pStyle w:val="15"/>
            </w:pPr>
            <w:r>
              <w:t>1648.88</w:t>
            </w:r>
          </w:p>
        </w:tc>
        <w:tc>
          <w:tcPr>
            <w:tcW w:w="1361" w:type="dxa"/>
            <w:vAlign w:val="center"/>
          </w:tcPr>
          <w:p>
            <w:pPr>
              <w:pStyle w:val="15"/>
            </w:pPr>
            <w:r>
              <w:t>924.57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1313.48</w:t>
            </w:r>
          </w:p>
        </w:tc>
        <w:tc>
          <w:tcPr>
            <w:tcW w:w="1361" w:type="dxa"/>
            <w:vAlign w:val="center"/>
          </w:tcPr>
          <w:p>
            <w:pPr>
              <w:pStyle w:val="11"/>
            </w:pPr>
            <w:r>
              <w:t>1284.61</w:t>
            </w:r>
          </w:p>
        </w:tc>
        <w:tc>
          <w:tcPr>
            <w:tcW w:w="1361" w:type="dxa"/>
            <w:vAlign w:val="center"/>
          </w:tcPr>
          <w:p>
            <w:pPr>
              <w:pStyle w:val="11"/>
            </w:pPr>
            <w:r>
              <w:t>28.87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t>代表工作</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1286.61</w:t>
            </w:r>
          </w:p>
        </w:tc>
        <w:tc>
          <w:tcPr>
            <w:tcW w:w="1361" w:type="dxa"/>
            <w:vAlign w:val="center"/>
          </w:tcPr>
          <w:p>
            <w:pPr>
              <w:pStyle w:val="11"/>
            </w:pPr>
            <w:r>
              <w:t>1284.61</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446.62</w:t>
            </w:r>
          </w:p>
        </w:tc>
        <w:tc>
          <w:tcPr>
            <w:tcW w:w="1361" w:type="dxa"/>
            <w:vAlign w:val="center"/>
          </w:tcPr>
          <w:p>
            <w:pPr>
              <w:pStyle w:val="11"/>
            </w:pPr>
            <w:r>
              <w:t>446.62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837.99</w:t>
            </w:r>
          </w:p>
        </w:tc>
        <w:tc>
          <w:tcPr>
            <w:tcW w:w="1361" w:type="dxa"/>
            <w:vAlign w:val="center"/>
          </w:tcPr>
          <w:p>
            <w:pPr>
              <w:pStyle w:val="11"/>
            </w:pPr>
            <w:r>
              <w:t>837.99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24.87</w:t>
            </w:r>
          </w:p>
        </w:tc>
        <w:tc>
          <w:tcPr>
            <w:tcW w:w="1361" w:type="dxa"/>
            <w:vAlign w:val="center"/>
          </w:tcPr>
          <w:p>
            <w:pPr>
              <w:pStyle w:val="11"/>
            </w:pPr>
          </w:p>
        </w:tc>
        <w:tc>
          <w:tcPr>
            <w:tcW w:w="1361" w:type="dxa"/>
            <w:vAlign w:val="center"/>
          </w:tcPr>
          <w:p>
            <w:pPr>
              <w:pStyle w:val="11"/>
            </w:pPr>
            <w:r>
              <w:t>24.87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24.87</w:t>
            </w:r>
          </w:p>
        </w:tc>
        <w:tc>
          <w:tcPr>
            <w:tcW w:w="1361" w:type="dxa"/>
            <w:vAlign w:val="center"/>
          </w:tcPr>
          <w:p>
            <w:pPr>
              <w:pStyle w:val="11"/>
            </w:pPr>
          </w:p>
        </w:tc>
        <w:tc>
          <w:tcPr>
            <w:tcW w:w="1361" w:type="dxa"/>
            <w:vAlign w:val="center"/>
          </w:tcPr>
          <w:p>
            <w:pPr>
              <w:pStyle w:val="11"/>
            </w:pPr>
            <w:r>
              <w:t>24.87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3.25</w:t>
            </w:r>
          </w:p>
        </w:tc>
        <w:tc>
          <w:tcPr>
            <w:tcW w:w="1361" w:type="dxa"/>
            <w:vAlign w:val="center"/>
          </w:tcPr>
          <w:p>
            <w:pPr>
              <w:pStyle w:val="11"/>
            </w:pPr>
            <w:r>
              <w:t>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3.25</w:t>
            </w:r>
          </w:p>
        </w:tc>
        <w:tc>
          <w:tcPr>
            <w:tcW w:w="1361" w:type="dxa"/>
            <w:vAlign w:val="center"/>
          </w:tcPr>
          <w:p>
            <w:pPr>
              <w:pStyle w:val="11"/>
            </w:pPr>
            <w:r>
              <w:t>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2050201</w:t>
            </w:r>
          </w:p>
        </w:tc>
        <w:tc>
          <w:tcPr>
            <w:tcW w:w="4535" w:type="dxa"/>
            <w:vAlign w:val="center"/>
          </w:tcPr>
          <w:p>
            <w:pPr>
              <w:pStyle w:val="12"/>
            </w:pPr>
            <w:r>
              <w:t>学前教育</w:t>
            </w:r>
          </w:p>
        </w:tc>
        <w:tc>
          <w:tcPr>
            <w:tcW w:w="1361" w:type="dxa"/>
            <w:vAlign w:val="center"/>
          </w:tcPr>
          <w:p>
            <w:pPr>
              <w:pStyle w:val="11"/>
            </w:pPr>
            <w:r>
              <w:t>3.25</w:t>
            </w:r>
          </w:p>
        </w:tc>
        <w:tc>
          <w:tcPr>
            <w:tcW w:w="1361" w:type="dxa"/>
            <w:vAlign w:val="center"/>
          </w:tcPr>
          <w:p>
            <w:pPr>
              <w:pStyle w:val="11"/>
            </w:pPr>
            <w:r>
              <w:t>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200.58</w:t>
            </w:r>
          </w:p>
        </w:tc>
        <w:tc>
          <w:tcPr>
            <w:tcW w:w="1361" w:type="dxa"/>
            <w:vAlign w:val="center"/>
          </w:tcPr>
          <w:p>
            <w:pPr>
              <w:pStyle w:val="11"/>
            </w:pPr>
            <w:r>
              <w:t>200.58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200.58</w:t>
            </w:r>
          </w:p>
        </w:tc>
        <w:tc>
          <w:tcPr>
            <w:tcW w:w="1361" w:type="dxa"/>
            <w:vAlign w:val="center"/>
          </w:tcPr>
          <w:p>
            <w:pPr>
              <w:pStyle w:val="11"/>
            </w:pPr>
            <w:r>
              <w:t>200.58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155.86</w:t>
            </w:r>
          </w:p>
        </w:tc>
        <w:tc>
          <w:tcPr>
            <w:tcW w:w="1361" w:type="dxa"/>
            <w:vAlign w:val="center"/>
          </w:tcPr>
          <w:p>
            <w:pPr>
              <w:pStyle w:val="11"/>
            </w:pPr>
            <w:r>
              <w:t>155.86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44.72</w:t>
            </w:r>
          </w:p>
        </w:tc>
        <w:tc>
          <w:tcPr>
            <w:tcW w:w="1361" w:type="dxa"/>
            <w:vAlign w:val="center"/>
          </w:tcPr>
          <w:p>
            <w:pPr>
              <w:pStyle w:val="11"/>
            </w:pPr>
            <w:r>
              <w:t>44.72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82.50</w:t>
            </w:r>
          </w:p>
        </w:tc>
        <w:tc>
          <w:tcPr>
            <w:tcW w:w="1361" w:type="dxa"/>
            <w:vAlign w:val="center"/>
          </w:tcPr>
          <w:p>
            <w:pPr>
              <w:pStyle w:val="11"/>
            </w:pPr>
            <w:r>
              <w:t>82.50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7.01</w:t>
            </w:r>
          </w:p>
        </w:tc>
        <w:tc>
          <w:tcPr>
            <w:tcW w:w="1361" w:type="dxa"/>
            <w:vAlign w:val="center"/>
          </w:tcPr>
          <w:p>
            <w:pPr>
              <w:pStyle w:val="11"/>
            </w:pPr>
            <w:r>
              <w:t>7.01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2100799</w:t>
            </w:r>
          </w:p>
        </w:tc>
        <w:tc>
          <w:tcPr>
            <w:tcW w:w="4535" w:type="dxa"/>
            <w:vAlign w:val="center"/>
          </w:tcPr>
          <w:p>
            <w:pPr>
              <w:pStyle w:val="12"/>
            </w:pPr>
            <w:r>
              <w:t>其他计划生育事务支出</w:t>
            </w:r>
          </w:p>
        </w:tc>
        <w:tc>
          <w:tcPr>
            <w:tcW w:w="1361" w:type="dxa"/>
            <w:vAlign w:val="center"/>
          </w:tcPr>
          <w:p>
            <w:pPr>
              <w:pStyle w:val="11"/>
            </w:pPr>
            <w:r>
              <w:t>7.01</w:t>
            </w:r>
          </w:p>
        </w:tc>
        <w:tc>
          <w:tcPr>
            <w:tcW w:w="1361" w:type="dxa"/>
            <w:vAlign w:val="center"/>
          </w:tcPr>
          <w:p>
            <w:pPr>
              <w:pStyle w:val="11"/>
            </w:pPr>
            <w:r>
              <w:t>7.01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75.50</w:t>
            </w:r>
          </w:p>
        </w:tc>
        <w:tc>
          <w:tcPr>
            <w:tcW w:w="1361" w:type="dxa"/>
            <w:vAlign w:val="center"/>
          </w:tcPr>
          <w:p>
            <w:pPr>
              <w:pStyle w:val="11"/>
            </w:pPr>
            <w:r>
              <w:t>75.50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18.67</w:t>
            </w:r>
          </w:p>
        </w:tc>
        <w:tc>
          <w:tcPr>
            <w:tcW w:w="1361" w:type="dxa"/>
            <w:vAlign w:val="center"/>
          </w:tcPr>
          <w:p>
            <w:pPr>
              <w:pStyle w:val="11"/>
            </w:pPr>
            <w:r>
              <w:t>18.67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56.82</w:t>
            </w:r>
          </w:p>
        </w:tc>
        <w:tc>
          <w:tcPr>
            <w:tcW w:w="1361" w:type="dxa"/>
            <w:vAlign w:val="center"/>
          </w:tcPr>
          <w:p>
            <w:pPr>
              <w:pStyle w:val="11"/>
            </w:pPr>
            <w:r>
              <w:t>56.82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92.95</w:t>
            </w:r>
          </w:p>
        </w:tc>
        <w:tc>
          <w:tcPr>
            <w:tcW w:w="1361" w:type="dxa"/>
            <w:vAlign w:val="center"/>
          </w:tcPr>
          <w:p>
            <w:pPr>
              <w:pStyle w:val="11"/>
            </w:pPr>
          </w:p>
        </w:tc>
        <w:tc>
          <w:tcPr>
            <w:tcW w:w="1361" w:type="dxa"/>
            <w:vAlign w:val="center"/>
          </w:tcPr>
          <w:p>
            <w:pPr>
              <w:pStyle w:val="11"/>
            </w:pPr>
            <w:r>
              <w:t>92.95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92.95</w:t>
            </w:r>
          </w:p>
        </w:tc>
        <w:tc>
          <w:tcPr>
            <w:tcW w:w="1361" w:type="dxa"/>
            <w:vAlign w:val="center"/>
          </w:tcPr>
          <w:p>
            <w:pPr>
              <w:pStyle w:val="11"/>
            </w:pPr>
          </w:p>
        </w:tc>
        <w:tc>
          <w:tcPr>
            <w:tcW w:w="1361" w:type="dxa"/>
            <w:vAlign w:val="center"/>
          </w:tcPr>
          <w:p>
            <w:pPr>
              <w:pStyle w:val="11"/>
            </w:pPr>
            <w:r>
              <w:t>92.95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92.95</w:t>
            </w:r>
          </w:p>
        </w:tc>
        <w:tc>
          <w:tcPr>
            <w:tcW w:w="1361" w:type="dxa"/>
            <w:vAlign w:val="center"/>
          </w:tcPr>
          <w:p>
            <w:pPr>
              <w:pStyle w:val="11"/>
            </w:pPr>
          </w:p>
        </w:tc>
        <w:tc>
          <w:tcPr>
            <w:tcW w:w="1361" w:type="dxa"/>
            <w:vAlign w:val="center"/>
          </w:tcPr>
          <w:p>
            <w:pPr>
              <w:pStyle w:val="11"/>
            </w:pPr>
            <w:r>
              <w:t>92.95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795.70</w:t>
            </w:r>
          </w:p>
        </w:tc>
        <w:tc>
          <w:tcPr>
            <w:tcW w:w="1361" w:type="dxa"/>
            <w:vAlign w:val="center"/>
          </w:tcPr>
          <w:p>
            <w:pPr>
              <w:pStyle w:val="11"/>
            </w:pPr>
          </w:p>
        </w:tc>
        <w:tc>
          <w:tcPr>
            <w:tcW w:w="1361" w:type="dxa"/>
            <w:vAlign w:val="center"/>
          </w:tcPr>
          <w:p>
            <w:pPr>
              <w:pStyle w:val="11"/>
            </w:pPr>
            <w:r>
              <w:t>795.70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795.70</w:t>
            </w:r>
          </w:p>
        </w:tc>
        <w:tc>
          <w:tcPr>
            <w:tcW w:w="1361" w:type="dxa"/>
            <w:vAlign w:val="center"/>
          </w:tcPr>
          <w:p>
            <w:pPr>
              <w:pStyle w:val="11"/>
            </w:pPr>
          </w:p>
        </w:tc>
        <w:tc>
          <w:tcPr>
            <w:tcW w:w="1361" w:type="dxa"/>
            <w:vAlign w:val="center"/>
          </w:tcPr>
          <w:p>
            <w:pPr>
              <w:pStyle w:val="11"/>
            </w:pPr>
            <w:r>
              <w:t>795.70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795.70</w:t>
            </w:r>
          </w:p>
        </w:tc>
        <w:tc>
          <w:tcPr>
            <w:tcW w:w="1361" w:type="dxa"/>
            <w:vAlign w:val="center"/>
          </w:tcPr>
          <w:p>
            <w:pPr>
              <w:pStyle w:val="11"/>
            </w:pPr>
          </w:p>
        </w:tc>
        <w:tc>
          <w:tcPr>
            <w:tcW w:w="1361" w:type="dxa"/>
            <w:vAlign w:val="center"/>
          </w:tcPr>
          <w:p>
            <w:pPr>
              <w:pStyle w:val="11"/>
            </w:pPr>
            <w:r>
              <w:t>795.70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77.93</w:t>
            </w:r>
          </w:p>
        </w:tc>
        <w:tc>
          <w:tcPr>
            <w:tcW w:w="1361" w:type="dxa"/>
            <w:vAlign w:val="center"/>
          </w:tcPr>
          <w:p>
            <w:pPr>
              <w:pStyle w:val="11"/>
            </w:pPr>
            <w:r>
              <w:t>77.93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77.93</w:t>
            </w:r>
          </w:p>
        </w:tc>
        <w:tc>
          <w:tcPr>
            <w:tcW w:w="1361" w:type="dxa"/>
            <w:vAlign w:val="center"/>
          </w:tcPr>
          <w:p>
            <w:pPr>
              <w:pStyle w:val="11"/>
            </w:pPr>
            <w:r>
              <w:t>77.93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77.93</w:t>
            </w:r>
          </w:p>
        </w:tc>
        <w:tc>
          <w:tcPr>
            <w:tcW w:w="1361" w:type="dxa"/>
            <w:vAlign w:val="center"/>
          </w:tcPr>
          <w:p>
            <w:pPr>
              <w:pStyle w:val="11"/>
            </w:pPr>
            <w:r>
              <w:t>77.93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819001昌黎县新集镇人民政府本级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2573.44</w:t>
            </w:r>
          </w:p>
        </w:tc>
        <w:tc>
          <w:tcPr>
            <w:tcW w:w="3402" w:type="dxa"/>
            <w:vAlign w:val="center"/>
          </w:tcPr>
          <w:p>
            <w:pPr>
              <w:pStyle w:val="12"/>
            </w:pPr>
            <w:r>
              <w:t>一、一般公共服务支出</w:t>
            </w:r>
          </w:p>
        </w:tc>
        <w:tc>
          <w:tcPr>
            <w:tcW w:w="1474" w:type="dxa"/>
            <w:vAlign w:val="center"/>
          </w:tcPr>
          <w:p>
            <w:pPr>
              <w:pStyle w:val="11"/>
            </w:pPr>
            <w:r>
              <w:t>1313.48</w:t>
            </w:r>
          </w:p>
        </w:tc>
        <w:tc>
          <w:tcPr>
            <w:tcW w:w="1474" w:type="dxa"/>
            <w:vAlign w:val="center"/>
          </w:tcPr>
          <w:p>
            <w:pPr>
              <w:pStyle w:val="11"/>
            </w:pPr>
            <w:r>
              <w:t>1313.48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3.25</w:t>
            </w:r>
          </w:p>
        </w:tc>
        <w:tc>
          <w:tcPr>
            <w:tcW w:w="1474" w:type="dxa"/>
            <w:vAlign w:val="center"/>
          </w:tcPr>
          <w:p>
            <w:pPr>
              <w:pStyle w:val="11"/>
            </w:pPr>
            <w:r>
              <w:t>3.25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200.58</w:t>
            </w:r>
          </w:p>
        </w:tc>
        <w:tc>
          <w:tcPr>
            <w:tcW w:w="1474" w:type="dxa"/>
            <w:vAlign w:val="center"/>
          </w:tcPr>
          <w:p>
            <w:pPr>
              <w:pStyle w:val="11"/>
            </w:pPr>
            <w:r>
              <w:t>200.58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82.50</w:t>
            </w:r>
          </w:p>
        </w:tc>
        <w:tc>
          <w:tcPr>
            <w:tcW w:w="1474" w:type="dxa"/>
            <w:vAlign w:val="center"/>
          </w:tcPr>
          <w:p>
            <w:pPr>
              <w:pStyle w:val="11"/>
            </w:pPr>
            <w:r>
              <w:t>82.50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92.95</w:t>
            </w:r>
          </w:p>
        </w:tc>
        <w:tc>
          <w:tcPr>
            <w:tcW w:w="1474" w:type="dxa"/>
            <w:vAlign w:val="center"/>
          </w:tcPr>
          <w:p>
            <w:pPr>
              <w:pStyle w:val="11"/>
            </w:pPr>
            <w:r>
              <w:t>92.95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795.70</w:t>
            </w:r>
          </w:p>
        </w:tc>
        <w:tc>
          <w:tcPr>
            <w:tcW w:w="1474" w:type="dxa"/>
            <w:vAlign w:val="center"/>
          </w:tcPr>
          <w:p>
            <w:pPr>
              <w:pStyle w:val="11"/>
            </w:pPr>
            <w:r>
              <w:t>795.70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2.04</w:t>
            </w:r>
          </w:p>
        </w:tc>
        <w:tc>
          <w:tcPr>
            <w:tcW w:w="1474" w:type="dxa"/>
            <w:vAlign w:val="center"/>
          </w:tcPr>
          <w:p>
            <w:pPr>
              <w:pStyle w:val="11"/>
            </w:pPr>
            <w:r>
              <w:t>2.04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77.93</w:t>
            </w:r>
          </w:p>
        </w:tc>
        <w:tc>
          <w:tcPr>
            <w:tcW w:w="1474" w:type="dxa"/>
            <w:vAlign w:val="center"/>
          </w:tcPr>
          <w:p>
            <w:pPr>
              <w:pStyle w:val="11"/>
            </w:pPr>
            <w:r>
              <w:t>77.93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2573.44</w:t>
            </w:r>
          </w:p>
        </w:tc>
        <w:tc>
          <w:tcPr>
            <w:tcW w:w="3402" w:type="dxa"/>
            <w:vAlign w:val="center"/>
          </w:tcPr>
          <w:p>
            <w:pPr>
              <w:pStyle w:val="14"/>
            </w:pPr>
            <w:r>
              <w:t>本年支出合计</w:t>
            </w:r>
          </w:p>
        </w:tc>
        <w:tc>
          <w:tcPr>
            <w:tcW w:w="1474" w:type="dxa"/>
            <w:vAlign w:val="center"/>
          </w:tcPr>
          <w:p>
            <w:pPr>
              <w:pStyle w:val="15"/>
            </w:pPr>
            <w:r>
              <w:t>2573.44</w:t>
            </w:r>
          </w:p>
        </w:tc>
        <w:tc>
          <w:tcPr>
            <w:tcW w:w="1474" w:type="dxa"/>
            <w:vAlign w:val="center"/>
          </w:tcPr>
          <w:p>
            <w:pPr>
              <w:pStyle w:val="15"/>
            </w:pPr>
            <w:r>
              <w:t>2573.44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2573.44</w:t>
            </w:r>
          </w:p>
        </w:tc>
        <w:tc>
          <w:tcPr>
            <w:tcW w:w="3402" w:type="dxa"/>
            <w:vAlign w:val="center"/>
          </w:tcPr>
          <w:p>
            <w:pPr>
              <w:pStyle w:val="14"/>
            </w:pPr>
            <w:r>
              <w:t>支出总计</w:t>
            </w:r>
          </w:p>
        </w:tc>
        <w:tc>
          <w:tcPr>
            <w:tcW w:w="1474" w:type="dxa"/>
            <w:vAlign w:val="center"/>
          </w:tcPr>
          <w:p>
            <w:pPr>
              <w:pStyle w:val="15"/>
            </w:pPr>
            <w:r>
              <w:t>2573.44</w:t>
            </w:r>
          </w:p>
        </w:tc>
        <w:tc>
          <w:tcPr>
            <w:tcW w:w="1474" w:type="dxa"/>
            <w:vAlign w:val="center"/>
          </w:tcPr>
          <w:p>
            <w:pPr>
              <w:pStyle w:val="15"/>
            </w:pPr>
            <w:r>
              <w:t>2573.44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819001昌黎县新集镇人民政府本级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2573.44</w:t>
            </w:r>
          </w:p>
        </w:tc>
        <w:tc>
          <w:tcPr>
            <w:tcW w:w="2551" w:type="dxa"/>
            <w:vAlign w:val="center"/>
          </w:tcPr>
          <w:p>
            <w:pPr>
              <w:pStyle w:val="15"/>
            </w:pPr>
            <w:r>
              <w:t>1648.88</w:t>
            </w:r>
          </w:p>
        </w:tc>
        <w:tc>
          <w:tcPr>
            <w:tcW w:w="2551" w:type="dxa"/>
            <w:vAlign w:val="center"/>
          </w:tcPr>
          <w:p>
            <w:pPr>
              <w:pStyle w:val="15"/>
            </w:pPr>
            <w:r>
              <w:t>924.57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1313.48</w:t>
            </w:r>
          </w:p>
        </w:tc>
        <w:tc>
          <w:tcPr>
            <w:tcW w:w="2551" w:type="dxa"/>
            <w:vAlign w:val="center"/>
          </w:tcPr>
          <w:p>
            <w:pPr>
              <w:pStyle w:val="11"/>
            </w:pPr>
            <w:r>
              <w:t>1284.61</w:t>
            </w:r>
          </w:p>
        </w:tc>
        <w:tc>
          <w:tcPr>
            <w:tcW w:w="2551" w:type="dxa"/>
            <w:vAlign w:val="center"/>
          </w:tcPr>
          <w:p>
            <w:pPr>
              <w:pStyle w:val="11"/>
            </w:pPr>
            <w:r>
              <w:t>28.87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t>代表工作</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1286.61</w:t>
            </w:r>
          </w:p>
        </w:tc>
        <w:tc>
          <w:tcPr>
            <w:tcW w:w="2551" w:type="dxa"/>
            <w:vAlign w:val="center"/>
          </w:tcPr>
          <w:p>
            <w:pPr>
              <w:pStyle w:val="11"/>
            </w:pPr>
            <w:r>
              <w:t>1284.61</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446.62</w:t>
            </w:r>
          </w:p>
        </w:tc>
        <w:tc>
          <w:tcPr>
            <w:tcW w:w="2551" w:type="dxa"/>
            <w:vAlign w:val="center"/>
          </w:tcPr>
          <w:p>
            <w:pPr>
              <w:pStyle w:val="11"/>
            </w:pPr>
            <w:r>
              <w:t>446.62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837.99</w:t>
            </w:r>
          </w:p>
        </w:tc>
        <w:tc>
          <w:tcPr>
            <w:tcW w:w="2551" w:type="dxa"/>
            <w:vAlign w:val="center"/>
          </w:tcPr>
          <w:p>
            <w:pPr>
              <w:pStyle w:val="11"/>
            </w:pPr>
            <w:r>
              <w:t>837.99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24.87</w:t>
            </w:r>
          </w:p>
        </w:tc>
        <w:tc>
          <w:tcPr>
            <w:tcW w:w="2551" w:type="dxa"/>
            <w:vAlign w:val="center"/>
          </w:tcPr>
          <w:p>
            <w:pPr>
              <w:pStyle w:val="11"/>
            </w:pPr>
          </w:p>
        </w:tc>
        <w:tc>
          <w:tcPr>
            <w:tcW w:w="2551" w:type="dxa"/>
            <w:vAlign w:val="center"/>
          </w:tcPr>
          <w:p>
            <w:pPr>
              <w:pStyle w:val="11"/>
            </w:pPr>
            <w:r>
              <w:t>24.87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24.87</w:t>
            </w:r>
          </w:p>
        </w:tc>
        <w:tc>
          <w:tcPr>
            <w:tcW w:w="2551" w:type="dxa"/>
            <w:vAlign w:val="center"/>
          </w:tcPr>
          <w:p>
            <w:pPr>
              <w:pStyle w:val="11"/>
            </w:pPr>
          </w:p>
        </w:tc>
        <w:tc>
          <w:tcPr>
            <w:tcW w:w="2551" w:type="dxa"/>
            <w:vAlign w:val="center"/>
          </w:tcPr>
          <w:p>
            <w:pPr>
              <w:pStyle w:val="11"/>
            </w:pPr>
            <w:r>
              <w:t>24.87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3.25</w:t>
            </w:r>
          </w:p>
        </w:tc>
        <w:tc>
          <w:tcPr>
            <w:tcW w:w="2551" w:type="dxa"/>
            <w:vAlign w:val="center"/>
          </w:tcPr>
          <w:p>
            <w:pPr>
              <w:pStyle w:val="11"/>
            </w:pPr>
            <w:r>
              <w:t>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3.25</w:t>
            </w:r>
          </w:p>
        </w:tc>
        <w:tc>
          <w:tcPr>
            <w:tcW w:w="2551" w:type="dxa"/>
            <w:vAlign w:val="center"/>
          </w:tcPr>
          <w:p>
            <w:pPr>
              <w:pStyle w:val="11"/>
            </w:pPr>
            <w:r>
              <w:t>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2050201</w:t>
            </w:r>
          </w:p>
        </w:tc>
        <w:tc>
          <w:tcPr>
            <w:tcW w:w="4535" w:type="dxa"/>
            <w:vAlign w:val="center"/>
          </w:tcPr>
          <w:p>
            <w:pPr>
              <w:pStyle w:val="12"/>
            </w:pPr>
            <w:r>
              <w:t>学前教育</w:t>
            </w:r>
          </w:p>
        </w:tc>
        <w:tc>
          <w:tcPr>
            <w:tcW w:w="2551" w:type="dxa"/>
            <w:vAlign w:val="center"/>
          </w:tcPr>
          <w:p>
            <w:pPr>
              <w:pStyle w:val="11"/>
            </w:pPr>
            <w:r>
              <w:t>3.25</w:t>
            </w:r>
          </w:p>
        </w:tc>
        <w:tc>
          <w:tcPr>
            <w:tcW w:w="2551" w:type="dxa"/>
            <w:vAlign w:val="center"/>
          </w:tcPr>
          <w:p>
            <w:pPr>
              <w:pStyle w:val="11"/>
            </w:pPr>
            <w:r>
              <w:t>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200.58</w:t>
            </w:r>
          </w:p>
        </w:tc>
        <w:tc>
          <w:tcPr>
            <w:tcW w:w="2551" w:type="dxa"/>
            <w:vAlign w:val="center"/>
          </w:tcPr>
          <w:p>
            <w:pPr>
              <w:pStyle w:val="11"/>
            </w:pPr>
            <w:r>
              <w:t>200.58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200.58</w:t>
            </w:r>
          </w:p>
        </w:tc>
        <w:tc>
          <w:tcPr>
            <w:tcW w:w="2551" w:type="dxa"/>
            <w:vAlign w:val="center"/>
          </w:tcPr>
          <w:p>
            <w:pPr>
              <w:pStyle w:val="11"/>
            </w:pPr>
            <w:r>
              <w:t>200.58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155.86</w:t>
            </w:r>
          </w:p>
        </w:tc>
        <w:tc>
          <w:tcPr>
            <w:tcW w:w="2551" w:type="dxa"/>
            <w:vAlign w:val="center"/>
          </w:tcPr>
          <w:p>
            <w:pPr>
              <w:pStyle w:val="11"/>
            </w:pPr>
            <w:r>
              <w:t>155.86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44.72</w:t>
            </w:r>
          </w:p>
        </w:tc>
        <w:tc>
          <w:tcPr>
            <w:tcW w:w="2551" w:type="dxa"/>
            <w:vAlign w:val="center"/>
          </w:tcPr>
          <w:p>
            <w:pPr>
              <w:pStyle w:val="11"/>
            </w:pPr>
            <w:r>
              <w:t>44.72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82.50</w:t>
            </w:r>
          </w:p>
        </w:tc>
        <w:tc>
          <w:tcPr>
            <w:tcW w:w="2551" w:type="dxa"/>
            <w:vAlign w:val="center"/>
          </w:tcPr>
          <w:p>
            <w:pPr>
              <w:pStyle w:val="11"/>
            </w:pPr>
            <w:r>
              <w:t>82.50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7.01</w:t>
            </w:r>
          </w:p>
        </w:tc>
        <w:tc>
          <w:tcPr>
            <w:tcW w:w="2551" w:type="dxa"/>
            <w:vAlign w:val="center"/>
          </w:tcPr>
          <w:p>
            <w:pPr>
              <w:pStyle w:val="11"/>
            </w:pPr>
            <w:r>
              <w:t>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2100799</w:t>
            </w:r>
          </w:p>
        </w:tc>
        <w:tc>
          <w:tcPr>
            <w:tcW w:w="4535" w:type="dxa"/>
            <w:vAlign w:val="center"/>
          </w:tcPr>
          <w:p>
            <w:pPr>
              <w:pStyle w:val="12"/>
            </w:pPr>
            <w:r>
              <w:t>其他计划生育事务支出</w:t>
            </w:r>
          </w:p>
        </w:tc>
        <w:tc>
          <w:tcPr>
            <w:tcW w:w="2551" w:type="dxa"/>
            <w:vAlign w:val="center"/>
          </w:tcPr>
          <w:p>
            <w:pPr>
              <w:pStyle w:val="11"/>
            </w:pPr>
            <w:r>
              <w:t>7.01</w:t>
            </w:r>
          </w:p>
        </w:tc>
        <w:tc>
          <w:tcPr>
            <w:tcW w:w="2551" w:type="dxa"/>
            <w:vAlign w:val="center"/>
          </w:tcPr>
          <w:p>
            <w:pPr>
              <w:pStyle w:val="11"/>
            </w:pPr>
            <w:r>
              <w:t>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75.50</w:t>
            </w:r>
          </w:p>
        </w:tc>
        <w:tc>
          <w:tcPr>
            <w:tcW w:w="2551" w:type="dxa"/>
            <w:vAlign w:val="center"/>
          </w:tcPr>
          <w:p>
            <w:pPr>
              <w:pStyle w:val="11"/>
            </w:pPr>
            <w:r>
              <w:t>75.50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18.67</w:t>
            </w:r>
          </w:p>
        </w:tc>
        <w:tc>
          <w:tcPr>
            <w:tcW w:w="2551" w:type="dxa"/>
            <w:vAlign w:val="center"/>
          </w:tcPr>
          <w:p>
            <w:pPr>
              <w:pStyle w:val="11"/>
            </w:pPr>
            <w:r>
              <w:t>18.67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56.82</w:t>
            </w:r>
          </w:p>
        </w:tc>
        <w:tc>
          <w:tcPr>
            <w:tcW w:w="2551" w:type="dxa"/>
            <w:vAlign w:val="center"/>
          </w:tcPr>
          <w:p>
            <w:pPr>
              <w:pStyle w:val="11"/>
            </w:pPr>
            <w:r>
              <w:t>56.82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92.95</w:t>
            </w:r>
          </w:p>
        </w:tc>
        <w:tc>
          <w:tcPr>
            <w:tcW w:w="2551" w:type="dxa"/>
            <w:vAlign w:val="center"/>
          </w:tcPr>
          <w:p>
            <w:pPr>
              <w:pStyle w:val="11"/>
            </w:pPr>
          </w:p>
        </w:tc>
        <w:tc>
          <w:tcPr>
            <w:tcW w:w="2551" w:type="dxa"/>
            <w:vAlign w:val="center"/>
          </w:tcPr>
          <w:p>
            <w:pPr>
              <w:pStyle w:val="11"/>
            </w:pPr>
            <w:r>
              <w:t>92.95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92.95</w:t>
            </w:r>
          </w:p>
        </w:tc>
        <w:tc>
          <w:tcPr>
            <w:tcW w:w="2551" w:type="dxa"/>
            <w:vAlign w:val="center"/>
          </w:tcPr>
          <w:p>
            <w:pPr>
              <w:pStyle w:val="11"/>
            </w:pPr>
          </w:p>
        </w:tc>
        <w:tc>
          <w:tcPr>
            <w:tcW w:w="2551" w:type="dxa"/>
            <w:vAlign w:val="center"/>
          </w:tcPr>
          <w:p>
            <w:pPr>
              <w:pStyle w:val="11"/>
            </w:pPr>
            <w:r>
              <w:t>92.95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92.95</w:t>
            </w:r>
          </w:p>
        </w:tc>
        <w:tc>
          <w:tcPr>
            <w:tcW w:w="2551" w:type="dxa"/>
            <w:vAlign w:val="center"/>
          </w:tcPr>
          <w:p>
            <w:pPr>
              <w:pStyle w:val="11"/>
            </w:pPr>
          </w:p>
        </w:tc>
        <w:tc>
          <w:tcPr>
            <w:tcW w:w="2551" w:type="dxa"/>
            <w:vAlign w:val="center"/>
          </w:tcPr>
          <w:p>
            <w:pPr>
              <w:pStyle w:val="11"/>
            </w:pPr>
            <w:r>
              <w:t>92.95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795.70</w:t>
            </w:r>
          </w:p>
        </w:tc>
        <w:tc>
          <w:tcPr>
            <w:tcW w:w="2551" w:type="dxa"/>
            <w:vAlign w:val="center"/>
          </w:tcPr>
          <w:p>
            <w:pPr>
              <w:pStyle w:val="11"/>
            </w:pPr>
          </w:p>
        </w:tc>
        <w:tc>
          <w:tcPr>
            <w:tcW w:w="2551" w:type="dxa"/>
            <w:vAlign w:val="center"/>
          </w:tcPr>
          <w:p>
            <w:pPr>
              <w:pStyle w:val="11"/>
            </w:pPr>
            <w:r>
              <w:t>795.70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795.70</w:t>
            </w:r>
          </w:p>
        </w:tc>
        <w:tc>
          <w:tcPr>
            <w:tcW w:w="2551" w:type="dxa"/>
            <w:vAlign w:val="center"/>
          </w:tcPr>
          <w:p>
            <w:pPr>
              <w:pStyle w:val="11"/>
            </w:pPr>
          </w:p>
        </w:tc>
        <w:tc>
          <w:tcPr>
            <w:tcW w:w="2551" w:type="dxa"/>
            <w:vAlign w:val="center"/>
          </w:tcPr>
          <w:p>
            <w:pPr>
              <w:pStyle w:val="11"/>
            </w:pPr>
            <w:r>
              <w:t>795.70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795.70</w:t>
            </w:r>
          </w:p>
        </w:tc>
        <w:tc>
          <w:tcPr>
            <w:tcW w:w="2551" w:type="dxa"/>
            <w:vAlign w:val="center"/>
          </w:tcPr>
          <w:p>
            <w:pPr>
              <w:pStyle w:val="11"/>
            </w:pPr>
          </w:p>
        </w:tc>
        <w:tc>
          <w:tcPr>
            <w:tcW w:w="2551" w:type="dxa"/>
            <w:vAlign w:val="center"/>
          </w:tcPr>
          <w:p>
            <w:pPr>
              <w:pStyle w:val="11"/>
            </w:pPr>
            <w:r>
              <w:t>795.70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2.04</w:t>
            </w:r>
          </w:p>
        </w:tc>
        <w:tc>
          <w:tcPr>
            <w:tcW w:w="2551" w:type="dxa"/>
            <w:vAlign w:val="center"/>
          </w:tcPr>
          <w:p>
            <w:pPr>
              <w:pStyle w:val="11"/>
            </w:pPr>
          </w:p>
        </w:tc>
        <w:tc>
          <w:tcPr>
            <w:tcW w:w="2551"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2.04</w:t>
            </w:r>
          </w:p>
        </w:tc>
        <w:tc>
          <w:tcPr>
            <w:tcW w:w="2551" w:type="dxa"/>
            <w:vAlign w:val="center"/>
          </w:tcPr>
          <w:p>
            <w:pPr>
              <w:pStyle w:val="11"/>
            </w:pPr>
          </w:p>
        </w:tc>
        <w:tc>
          <w:tcPr>
            <w:tcW w:w="2551"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2.04</w:t>
            </w:r>
          </w:p>
        </w:tc>
        <w:tc>
          <w:tcPr>
            <w:tcW w:w="2551" w:type="dxa"/>
            <w:vAlign w:val="center"/>
          </w:tcPr>
          <w:p>
            <w:pPr>
              <w:pStyle w:val="11"/>
            </w:pPr>
          </w:p>
        </w:tc>
        <w:tc>
          <w:tcPr>
            <w:tcW w:w="2551"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77.93</w:t>
            </w:r>
          </w:p>
        </w:tc>
        <w:tc>
          <w:tcPr>
            <w:tcW w:w="2551" w:type="dxa"/>
            <w:vAlign w:val="center"/>
          </w:tcPr>
          <w:p>
            <w:pPr>
              <w:pStyle w:val="11"/>
            </w:pPr>
            <w:r>
              <w:t>77.93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77.93</w:t>
            </w:r>
          </w:p>
        </w:tc>
        <w:tc>
          <w:tcPr>
            <w:tcW w:w="2551" w:type="dxa"/>
            <w:vAlign w:val="center"/>
          </w:tcPr>
          <w:p>
            <w:pPr>
              <w:pStyle w:val="11"/>
            </w:pPr>
            <w:r>
              <w:t>77.93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77.93</w:t>
            </w:r>
          </w:p>
        </w:tc>
        <w:tc>
          <w:tcPr>
            <w:tcW w:w="2551" w:type="dxa"/>
            <w:vAlign w:val="center"/>
          </w:tcPr>
          <w:p>
            <w:pPr>
              <w:pStyle w:val="11"/>
            </w:pPr>
            <w:r>
              <w:t>77.93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819001昌黎县新集镇人民政府本级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1648.88</w:t>
            </w:r>
          </w:p>
        </w:tc>
        <w:tc>
          <w:tcPr>
            <w:tcW w:w="2551" w:type="dxa"/>
            <w:vAlign w:val="center"/>
          </w:tcPr>
          <w:p>
            <w:pPr>
              <w:pStyle w:val="15"/>
            </w:pPr>
            <w:r>
              <w:t>1571.33</w:t>
            </w:r>
          </w:p>
        </w:tc>
        <w:tc>
          <w:tcPr>
            <w:tcW w:w="2551" w:type="dxa"/>
            <w:vAlign w:val="center"/>
          </w:tcPr>
          <w:p>
            <w:pPr>
              <w:pStyle w:val="15"/>
            </w:pPr>
            <w:r>
              <w:t>77.55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1462.91</w:t>
            </w:r>
          </w:p>
        </w:tc>
        <w:tc>
          <w:tcPr>
            <w:tcW w:w="2551" w:type="dxa"/>
            <w:vAlign w:val="center"/>
          </w:tcPr>
          <w:p>
            <w:pPr>
              <w:pStyle w:val="11"/>
            </w:pPr>
            <w:r>
              <w:t>1462.91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599.75</w:t>
            </w:r>
          </w:p>
        </w:tc>
        <w:tc>
          <w:tcPr>
            <w:tcW w:w="2551" w:type="dxa"/>
            <w:vAlign w:val="center"/>
          </w:tcPr>
          <w:p>
            <w:pPr>
              <w:pStyle w:val="11"/>
            </w:pPr>
            <w:r>
              <w:t>599.75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203.06</w:t>
            </w:r>
          </w:p>
        </w:tc>
        <w:tc>
          <w:tcPr>
            <w:tcW w:w="2551" w:type="dxa"/>
            <w:vAlign w:val="center"/>
          </w:tcPr>
          <w:p>
            <w:pPr>
              <w:pStyle w:val="11"/>
            </w:pPr>
            <w:r>
              <w:t>203.06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31.61</w:t>
            </w:r>
          </w:p>
        </w:tc>
        <w:tc>
          <w:tcPr>
            <w:tcW w:w="2551" w:type="dxa"/>
            <w:vAlign w:val="center"/>
          </w:tcPr>
          <w:p>
            <w:pPr>
              <w:pStyle w:val="11"/>
            </w:pPr>
            <w:r>
              <w:t>31.61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243.64</w:t>
            </w:r>
          </w:p>
        </w:tc>
        <w:tc>
          <w:tcPr>
            <w:tcW w:w="2551" w:type="dxa"/>
            <w:vAlign w:val="center"/>
          </w:tcPr>
          <w:p>
            <w:pPr>
              <w:pStyle w:val="11"/>
            </w:pPr>
            <w:r>
              <w:t>243.64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155.86</w:t>
            </w:r>
          </w:p>
        </w:tc>
        <w:tc>
          <w:tcPr>
            <w:tcW w:w="2551" w:type="dxa"/>
            <w:vAlign w:val="center"/>
          </w:tcPr>
          <w:p>
            <w:pPr>
              <w:pStyle w:val="11"/>
            </w:pPr>
            <w:r>
              <w:t>155.86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44.72</w:t>
            </w:r>
          </w:p>
        </w:tc>
        <w:tc>
          <w:tcPr>
            <w:tcW w:w="2551" w:type="dxa"/>
            <w:vAlign w:val="center"/>
          </w:tcPr>
          <w:p>
            <w:pPr>
              <w:pStyle w:val="11"/>
            </w:pPr>
            <w:r>
              <w:t>44.72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75.50</w:t>
            </w:r>
          </w:p>
        </w:tc>
        <w:tc>
          <w:tcPr>
            <w:tcW w:w="2551" w:type="dxa"/>
            <w:vAlign w:val="center"/>
          </w:tcPr>
          <w:p>
            <w:pPr>
              <w:pStyle w:val="11"/>
            </w:pPr>
            <w:r>
              <w:t>75.50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9.13</w:t>
            </w:r>
          </w:p>
        </w:tc>
        <w:tc>
          <w:tcPr>
            <w:tcW w:w="2551" w:type="dxa"/>
            <w:vAlign w:val="center"/>
          </w:tcPr>
          <w:p>
            <w:pPr>
              <w:pStyle w:val="11"/>
            </w:pPr>
            <w:r>
              <w:t>9.13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77.93</w:t>
            </w:r>
          </w:p>
        </w:tc>
        <w:tc>
          <w:tcPr>
            <w:tcW w:w="2551" w:type="dxa"/>
            <w:vAlign w:val="center"/>
          </w:tcPr>
          <w:p>
            <w:pPr>
              <w:pStyle w:val="11"/>
            </w:pPr>
            <w:r>
              <w:t>77.93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21.71</w:t>
            </w:r>
          </w:p>
        </w:tc>
        <w:tc>
          <w:tcPr>
            <w:tcW w:w="2551" w:type="dxa"/>
            <w:vAlign w:val="center"/>
          </w:tcPr>
          <w:p>
            <w:pPr>
              <w:pStyle w:val="11"/>
            </w:pPr>
            <w:r>
              <w:t>21.71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77.55</w:t>
            </w:r>
          </w:p>
        </w:tc>
        <w:tc>
          <w:tcPr>
            <w:tcW w:w="2551" w:type="dxa"/>
            <w:vAlign w:val="center"/>
          </w:tcPr>
          <w:p>
            <w:pPr>
              <w:pStyle w:val="11"/>
            </w:pPr>
          </w:p>
        </w:tc>
        <w:tc>
          <w:tcPr>
            <w:tcW w:w="2551" w:type="dxa"/>
            <w:vAlign w:val="center"/>
          </w:tcPr>
          <w:p>
            <w:pPr>
              <w:pStyle w:val="11"/>
            </w:pPr>
            <w:r>
              <w:t>77.55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24.00</w:t>
            </w:r>
          </w:p>
        </w:tc>
        <w:tc>
          <w:tcPr>
            <w:tcW w:w="2551" w:type="dxa"/>
            <w:vAlign w:val="center"/>
          </w:tcPr>
          <w:p>
            <w:pPr>
              <w:pStyle w:val="11"/>
            </w:pPr>
          </w:p>
        </w:tc>
        <w:tc>
          <w:tcPr>
            <w:tcW w:w="2551"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0.58</w:t>
            </w:r>
          </w:p>
        </w:tc>
        <w:tc>
          <w:tcPr>
            <w:tcW w:w="2551" w:type="dxa"/>
            <w:vAlign w:val="center"/>
          </w:tcPr>
          <w:p>
            <w:pPr>
              <w:pStyle w:val="11"/>
            </w:pPr>
          </w:p>
        </w:tc>
        <w:tc>
          <w:tcPr>
            <w:tcW w:w="2551" w:type="dxa"/>
            <w:vAlign w:val="center"/>
          </w:tcPr>
          <w:p>
            <w:pPr>
              <w:pStyle w:val="11"/>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9.17</w:t>
            </w:r>
          </w:p>
        </w:tc>
        <w:tc>
          <w:tcPr>
            <w:tcW w:w="2551" w:type="dxa"/>
            <w:vAlign w:val="center"/>
          </w:tcPr>
          <w:p>
            <w:pPr>
              <w:pStyle w:val="11"/>
            </w:pPr>
          </w:p>
        </w:tc>
        <w:tc>
          <w:tcPr>
            <w:tcW w:w="2551" w:type="dxa"/>
            <w:vAlign w:val="center"/>
          </w:tcPr>
          <w:p>
            <w:pPr>
              <w:pStyle w:val="11"/>
            </w:pPr>
            <w:r>
              <w:t>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3.42</w:t>
            </w:r>
          </w:p>
        </w:tc>
        <w:tc>
          <w:tcPr>
            <w:tcW w:w="2551" w:type="dxa"/>
            <w:vAlign w:val="center"/>
          </w:tcPr>
          <w:p>
            <w:pPr>
              <w:pStyle w:val="11"/>
            </w:pPr>
          </w:p>
        </w:tc>
        <w:tc>
          <w:tcPr>
            <w:tcW w:w="2551" w:type="dxa"/>
            <w:vAlign w:val="center"/>
          </w:tcPr>
          <w:p>
            <w:pPr>
              <w:pStyle w:val="11"/>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27.90</w:t>
            </w:r>
          </w:p>
        </w:tc>
        <w:tc>
          <w:tcPr>
            <w:tcW w:w="2551" w:type="dxa"/>
            <w:vAlign w:val="center"/>
          </w:tcPr>
          <w:p>
            <w:pPr>
              <w:pStyle w:val="11"/>
            </w:pPr>
          </w:p>
        </w:tc>
        <w:tc>
          <w:tcPr>
            <w:tcW w:w="2551" w:type="dxa"/>
            <w:vAlign w:val="center"/>
          </w:tcPr>
          <w:p>
            <w:pPr>
              <w:pStyle w:val="11"/>
            </w:pPr>
            <w:r>
              <w:t>27.90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2.48</w:t>
            </w:r>
          </w:p>
        </w:tc>
        <w:tc>
          <w:tcPr>
            <w:tcW w:w="2551" w:type="dxa"/>
            <w:vAlign w:val="center"/>
          </w:tcPr>
          <w:p>
            <w:pPr>
              <w:pStyle w:val="11"/>
            </w:pPr>
          </w:p>
        </w:tc>
        <w:tc>
          <w:tcPr>
            <w:tcW w:w="2551" w:type="dxa"/>
            <w:vAlign w:val="center"/>
          </w:tcPr>
          <w:p>
            <w:pPr>
              <w:pStyle w:val="11"/>
            </w:pPr>
            <w:r>
              <w:t>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108.42</w:t>
            </w:r>
          </w:p>
        </w:tc>
        <w:tc>
          <w:tcPr>
            <w:tcW w:w="2551" w:type="dxa"/>
            <w:vAlign w:val="center"/>
          </w:tcPr>
          <w:p>
            <w:pPr>
              <w:pStyle w:val="11"/>
            </w:pPr>
            <w:r>
              <w:t>108.42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10.50</w:t>
            </w:r>
          </w:p>
        </w:tc>
        <w:tc>
          <w:tcPr>
            <w:tcW w:w="2551" w:type="dxa"/>
            <w:vAlign w:val="center"/>
          </w:tcPr>
          <w:p>
            <w:pPr>
              <w:pStyle w:val="11"/>
            </w:pPr>
            <w:r>
              <w:t>10.50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79.77</w:t>
            </w:r>
          </w:p>
        </w:tc>
        <w:tc>
          <w:tcPr>
            <w:tcW w:w="2551" w:type="dxa"/>
            <w:vAlign w:val="center"/>
          </w:tcPr>
          <w:p>
            <w:pPr>
              <w:pStyle w:val="11"/>
            </w:pPr>
            <w:r>
              <w:t>79.77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18.15</w:t>
            </w:r>
          </w:p>
        </w:tc>
        <w:tc>
          <w:tcPr>
            <w:tcW w:w="2551" w:type="dxa"/>
            <w:vAlign w:val="center"/>
          </w:tcPr>
          <w:p>
            <w:pPr>
              <w:pStyle w:val="11"/>
            </w:pPr>
            <w:r>
              <w:t>18.15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819001昌黎县新集镇人民政府本级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819001昌黎县新集镇人民政府本级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819001昌黎县新集镇人民政府本级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3.42</w:t>
            </w:r>
          </w:p>
        </w:tc>
        <w:tc>
          <w:tcPr>
            <w:tcW w:w="2381" w:type="dxa"/>
            <w:vAlign w:val="center"/>
          </w:tcPr>
          <w:p>
            <w:pPr>
              <w:pStyle w:val="15"/>
            </w:pPr>
            <w:r>
              <w:t>3.42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3.42</w:t>
            </w:r>
          </w:p>
        </w:tc>
        <w:tc>
          <w:tcPr>
            <w:tcW w:w="2381" w:type="dxa"/>
            <w:vAlign w:val="center"/>
          </w:tcPr>
          <w:p>
            <w:pPr>
              <w:pStyle w:val="11"/>
            </w:pPr>
            <w:r>
              <w:t>3.42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3.42</w:t>
            </w:r>
          </w:p>
        </w:tc>
        <w:tc>
          <w:tcPr>
            <w:tcW w:w="2381" w:type="dxa"/>
            <w:vAlign w:val="center"/>
          </w:tcPr>
          <w:p>
            <w:pPr>
              <w:pStyle w:val="11"/>
            </w:pPr>
            <w:r>
              <w:t>3.42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3.42</w:t>
            </w:r>
          </w:p>
        </w:tc>
        <w:tc>
          <w:tcPr>
            <w:tcW w:w="2381" w:type="dxa"/>
            <w:vAlign w:val="center"/>
          </w:tcPr>
          <w:p>
            <w:pPr>
              <w:pStyle w:val="11"/>
            </w:pPr>
            <w:r>
              <w:t>3.42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昌黎县新集镇人民政府本级2026年单位预算信息公开情况说明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按照《中华人民共和国预算法》、《地方预决算公开操作规程》和《关于进一步推进预算公开工作的实施意见》规定，现将昌黎县新集镇人民政府本级2026年单位预算公开如下：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rPr>
          <w:rFonts w:hint="eastAsia" w:ascii="方正楷体_GBK" w:hAnsi="方正楷体_GBK" w:cs="方正楷体_GBK"/>
          <w:b/>
          <w:color w:val="000000"/>
          <w:sz w:val="32"/>
          <w:lang w:eastAsia="zh-CN"/>
        </w:rPr>
      </w:pPr>
      <w:r>
        <w:rPr>
          <w:rFonts w:ascii="方正楷体_GBK" w:hAnsi="方正楷体_GBK" w:eastAsia="方正楷体_GBK" w:cs="方正楷体_GBK"/>
          <w:b/>
          <w:color w:val="000000"/>
          <w:sz w:val="32"/>
        </w:rPr>
        <w:t>单位职责：</w:t>
      </w:r>
    </w:p>
    <w:p>
      <w:pPr>
        <w:pStyle w:val="26"/>
        <w:rPr>
          <w:rFonts w:hint="eastAsia"/>
        </w:rPr>
      </w:pPr>
      <w:r>
        <w:rPr>
          <w:rFonts w:hint="eastAsia" w:eastAsiaTheme="minorEastAsia"/>
          <w:lang w:eastAsia="zh-CN"/>
        </w:rPr>
        <w:t>内容涉密，不予公开。</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昌黎县新集镇人民政府本级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2573.44万元，其中：一般公共预算收入2573.44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新集镇人民政府本级年度单位预算中支出预算的总体情况。2026年支出预算2573.44万元，其中基本支出1648.88万元，包括人员经费1571.33万元和日常公用经费77.55万元；项目支出924.57万元，主要为村级组织运转经费、信访事务、农村综合改革等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2573.44万元，较2025年预算增加239.87万元，其中：基本支出增加125.85万元，主要为2026年人员支出增加，2026年较2025年增加7名事业人员和2名行政人员。项目支出增加114.02万元，主要为村级组织运转经费中村干部补贴支出增加。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2026年，我单位机关运行经费共计安排77.55万元，主要用于日常维修、办公用房水电费、办公用房取暖费、办公用房物业管理费等日常运行支出。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3.42万元，其中因公出国（境）费0.00万元；公务用车购置及运维费3.42万元（其中：公务用车购置费为0.00万元，公务用车运维费3.42万元)；公务接待费0.00万元。与2025年相比减少0.18万元，增减变化的主要原因是2026年我单位严格控制公车使用，减少公务用车运行维护支出。</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1、2025-2026年取暖季“双代”运行补贴绩效目标表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13032226P00223610044A</w:t>
            </w:r>
          </w:p>
        </w:tc>
        <w:tc>
          <w:tcPr>
            <w:tcW w:w="2835" w:type="dxa"/>
            <w:vAlign w:val="center"/>
          </w:tcPr>
          <w:p>
            <w:pPr>
              <w:pStyle w:val="10"/>
            </w:pPr>
            <w:r>
              <w:t>项目名称</w:t>
            </w:r>
          </w:p>
        </w:tc>
        <w:tc>
          <w:tcPr>
            <w:tcW w:w="6095" w:type="dxa"/>
            <w:gridSpan w:val="3"/>
            <w:vAlign w:val="center"/>
          </w:tcPr>
          <w:p>
            <w:pPr>
              <w:pStyle w:val="12"/>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65.48</w:t>
            </w:r>
          </w:p>
        </w:tc>
        <w:tc>
          <w:tcPr>
            <w:tcW w:w="2835" w:type="dxa"/>
            <w:vAlign w:val="center"/>
          </w:tcPr>
          <w:p>
            <w:pPr>
              <w:pStyle w:val="10"/>
            </w:pPr>
            <w:r>
              <w:t>其中：财政    资金</w:t>
            </w:r>
          </w:p>
        </w:tc>
        <w:tc>
          <w:tcPr>
            <w:tcW w:w="2551" w:type="dxa"/>
            <w:vAlign w:val="center"/>
          </w:tcPr>
          <w:p>
            <w:pPr>
              <w:pStyle w:val="12"/>
            </w:pPr>
            <w:r>
              <w:t>65.48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用于发放2025-2026年取暖季“双代”用户取暖补贴，保障用户正常取暖。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1.用于发放2025-2026年取暖季“双代”用户取暖补贴，保障用户正常取暖。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补助行政村数量</w:t>
            </w:r>
          </w:p>
        </w:tc>
        <w:tc>
          <w:tcPr>
            <w:tcW w:w="5386" w:type="dxa"/>
            <w:vAlign w:val="center"/>
          </w:tcPr>
          <w:p>
            <w:pPr>
              <w:pStyle w:val="12"/>
            </w:pPr>
            <w:r>
              <w:t>实施“双代”取暖的政村数量</w:t>
            </w:r>
          </w:p>
        </w:tc>
        <w:tc>
          <w:tcPr>
            <w:tcW w:w="2268" w:type="dxa"/>
            <w:vAlign w:val="center"/>
          </w:tcPr>
          <w:p>
            <w:pPr>
              <w:pStyle w:val="12"/>
            </w:pPr>
            <w:r>
              <w:t>16个</w:t>
            </w:r>
          </w:p>
        </w:tc>
        <w:tc>
          <w:tcPr>
            <w:tcW w:w="1276" w:type="dxa"/>
            <w:vAlign w:val="center"/>
          </w:tcPr>
          <w:p>
            <w:pPr>
              <w:pStyle w:val="12"/>
            </w:pPr>
            <w:r>
              <w:t>实际行政村数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p>
            <w:pPr>
              <w:pStyle w:val="12"/>
            </w:pPr>
          </w:p>
        </w:tc>
        <w:tc>
          <w:tcPr>
            <w:tcW w:w="5386" w:type="dxa"/>
            <w:vAlign w:val="center"/>
          </w:tcPr>
          <w:p>
            <w:pPr>
              <w:pStyle w:val="12"/>
            </w:pPr>
            <w:r>
              <w:t>“双代”补助资金到位率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资金补助及时率</w:t>
            </w:r>
          </w:p>
        </w:tc>
        <w:tc>
          <w:tcPr>
            <w:tcW w:w="5386" w:type="dxa"/>
            <w:vAlign w:val="center"/>
          </w:tcPr>
          <w:p>
            <w:pPr>
              <w:pStyle w:val="12"/>
            </w:pPr>
            <w:r>
              <w:t>“双代”资金补助及时率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成本降低率</w:t>
            </w:r>
          </w:p>
        </w:tc>
        <w:tc>
          <w:tcPr>
            <w:tcW w:w="5386" w:type="dxa"/>
            <w:vAlign w:val="center"/>
          </w:tcPr>
          <w:p>
            <w:pPr>
              <w:pStyle w:val="12"/>
            </w:pPr>
            <w:r>
              <w:t>“双代”实施燃气成本降低率</w:t>
            </w:r>
          </w:p>
        </w:tc>
        <w:tc>
          <w:tcPr>
            <w:tcW w:w="2268" w:type="dxa"/>
            <w:vAlign w:val="center"/>
          </w:tcPr>
          <w:p>
            <w:pPr>
              <w:pStyle w:val="12"/>
            </w:pPr>
            <w:r>
              <w:t>≥20%</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“双代”资金的使用效率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政策覆盖范围</w:t>
            </w:r>
          </w:p>
        </w:tc>
        <w:tc>
          <w:tcPr>
            <w:tcW w:w="5386" w:type="dxa"/>
            <w:vAlign w:val="center"/>
          </w:tcPr>
          <w:p>
            <w:pPr>
              <w:pStyle w:val="12"/>
            </w:pPr>
            <w:r>
              <w:t>推动“气代煤”政策的支出推进</w:t>
            </w:r>
          </w:p>
        </w:tc>
        <w:tc>
          <w:tcPr>
            <w:tcW w:w="2268" w:type="dxa"/>
            <w:vAlign w:val="center"/>
          </w:tcPr>
          <w:p>
            <w:pPr>
              <w:pStyle w:val="12"/>
            </w:pPr>
            <w:r>
              <w:t>积极推动</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生态环保</w:t>
            </w:r>
          </w:p>
        </w:tc>
        <w:tc>
          <w:tcPr>
            <w:tcW w:w="5386" w:type="dxa"/>
            <w:vAlign w:val="center"/>
          </w:tcPr>
          <w:p>
            <w:pPr>
              <w:pStyle w:val="12"/>
            </w:pPr>
            <w:r>
              <w:t>降低PM2.5、二氧化硫等污染物排放率</w:t>
            </w:r>
          </w:p>
        </w:tc>
        <w:tc>
          <w:tcPr>
            <w:tcW w:w="2268" w:type="dxa"/>
            <w:vAlign w:val="center"/>
          </w:tcPr>
          <w:p>
            <w:pPr>
              <w:pStyle w:val="12"/>
            </w:pPr>
            <w:r>
              <w:t>显著降低</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效果持续时间</w:t>
            </w:r>
          </w:p>
        </w:tc>
        <w:tc>
          <w:tcPr>
            <w:tcW w:w="5386" w:type="dxa"/>
            <w:vAlign w:val="center"/>
          </w:tcPr>
          <w:p>
            <w:pPr>
              <w:pStyle w:val="12"/>
            </w:pPr>
            <w:r>
              <w:t>“气代煤“效果持续时间</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通过调查享受“气代煤”用户比较满意占所有用户的比例</w:t>
            </w:r>
          </w:p>
        </w:tc>
        <w:tc>
          <w:tcPr>
            <w:tcW w:w="2268" w:type="dxa"/>
            <w:vAlign w:val="center"/>
          </w:tcPr>
          <w:p>
            <w:pPr>
              <w:pStyle w:val="12"/>
            </w:pPr>
            <w:r>
              <w:t>≥90%</w:t>
            </w:r>
          </w:p>
        </w:tc>
        <w:tc>
          <w:tcPr>
            <w:tcW w:w="1276" w:type="dxa"/>
            <w:vAlign w:val="center"/>
          </w:tcPr>
          <w:p>
            <w:pPr>
              <w:pStyle w:val="12"/>
            </w:pPr>
            <w:r>
              <w:t>工作目标计划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2、2026年度县级综合文化站免费开放资金绩效目标表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13032226P00217210071H</w:t>
            </w:r>
          </w:p>
        </w:tc>
        <w:tc>
          <w:tcPr>
            <w:tcW w:w="2835" w:type="dxa"/>
            <w:vAlign w:val="center"/>
          </w:tcPr>
          <w:p>
            <w:pPr>
              <w:pStyle w:val="10"/>
            </w:pPr>
            <w:r>
              <w:t>项目名称</w:t>
            </w:r>
          </w:p>
        </w:tc>
        <w:tc>
          <w:tcPr>
            <w:tcW w:w="6095" w:type="dxa"/>
            <w:gridSpan w:val="3"/>
            <w:vAlign w:val="center"/>
          </w:tcPr>
          <w:p>
            <w:pPr>
              <w:pStyle w:val="12"/>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用于文化活动支出。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1.公共图书馆、美术馆、文化馆以及乡镇综合体目标文化站全部免费向社会公众开展基本公共文化服务。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免费开放场馆(站)组织举办各类展览、培训、讲座等文化活动的数</w:t>
            </w:r>
          </w:p>
        </w:tc>
        <w:tc>
          <w:tcPr>
            <w:tcW w:w="5386" w:type="dxa"/>
            <w:vAlign w:val="center"/>
          </w:tcPr>
          <w:p>
            <w:pPr>
              <w:pStyle w:val="12"/>
            </w:pPr>
            <w:r>
              <w:t>免费开放场馆(站)组织举办各类展览、培训、讲座等文化活动的数</w:t>
            </w:r>
          </w:p>
        </w:tc>
        <w:tc>
          <w:tcPr>
            <w:tcW w:w="2268" w:type="dxa"/>
            <w:vAlign w:val="center"/>
          </w:tcPr>
          <w:p>
            <w:pPr>
              <w:pStyle w:val="12"/>
            </w:pPr>
            <w:r>
              <w:t>≥3次</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群众参与费开放文化场馆(站)组织活动的人次</w:t>
            </w:r>
          </w:p>
        </w:tc>
        <w:tc>
          <w:tcPr>
            <w:tcW w:w="5386" w:type="dxa"/>
            <w:vAlign w:val="center"/>
          </w:tcPr>
          <w:p>
            <w:pPr>
              <w:pStyle w:val="12"/>
            </w:pPr>
            <w:r>
              <w:t>群众参与费开放文化场馆(站)组织活动的人次</w:t>
            </w:r>
          </w:p>
        </w:tc>
        <w:tc>
          <w:tcPr>
            <w:tcW w:w="2268" w:type="dxa"/>
            <w:vAlign w:val="center"/>
          </w:tcPr>
          <w:p>
            <w:pPr>
              <w:pStyle w:val="12"/>
            </w:pPr>
            <w:r>
              <w:t>≥3次</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群众参与人次较上年增长率</w:t>
            </w:r>
          </w:p>
        </w:tc>
        <w:tc>
          <w:tcPr>
            <w:tcW w:w="5386" w:type="dxa"/>
            <w:vAlign w:val="center"/>
          </w:tcPr>
          <w:p>
            <w:pPr>
              <w:pStyle w:val="12"/>
            </w:pPr>
            <w:r>
              <w:t>群众参与人次较上年增长率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全年办公费支出总额</w:t>
            </w:r>
          </w:p>
        </w:tc>
        <w:tc>
          <w:tcPr>
            <w:tcW w:w="5386" w:type="dxa"/>
            <w:vAlign w:val="center"/>
          </w:tcPr>
          <w:p>
            <w:pPr>
              <w:pStyle w:val="12"/>
            </w:pPr>
            <w:r>
              <w:t>公共图书馆、美术馆、文化馆公费支出总额</w:t>
            </w:r>
          </w:p>
        </w:tc>
        <w:tc>
          <w:tcPr>
            <w:tcW w:w="2268" w:type="dxa"/>
            <w:vAlign w:val="center"/>
          </w:tcPr>
          <w:p>
            <w:pPr>
              <w:pStyle w:val="12"/>
            </w:pPr>
            <w:r>
              <w:t>≤1.5万</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带动其它相关消费项目增收情况</w:t>
            </w:r>
          </w:p>
        </w:tc>
        <w:tc>
          <w:tcPr>
            <w:tcW w:w="5386" w:type="dxa"/>
            <w:vAlign w:val="center"/>
          </w:tcPr>
          <w:p>
            <w:pPr>
              <w:pStyle w:val="12"/>
            </w:pPr>
            <w:r>
              <w:t>带动其它相关消费项目增收情况</w:t>
            </w:r>
          </w:p>
        </w:tc>
        <w:tc>
          <w:tcPr>
            <w:tcW w:w="2268" w:type="dxa"/>
            <w:vAlign w:val="center"/>
          </w:tcPr>
          <w:p>
            <w:pPr>
              <w:pStyle w:val="12"/>
            </w:pPr>
            <w:r>
              <w:t>≥1%</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较上年降低</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免费开放文化场馆(站)正常运转</w:t>
            </w:r>
          </w:p>
        </w:tc>
        <w:tc>
          <w:tcPr>
            <w:tcW w:w="5386" w:type="dxa"/>
            <w:vAlign w:val="center"/>
          </w:tcPr>
          <w:p>
            <w:pPr>
              <w:pStyle w:val="12"/>
            </w:pPr>
            <w:r>
              <w:t>免费开放文化场馆(站)正常运转</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满意度指标服务对象满意度指标务的满意度受益群众对免费开放场馆(站)服</w:t>
            </w:r>
          </w:p>
        </w:tc>
        <w:tc>
          <w:tcPr>
            <w:tcW w:w="5386" w:type="dxa"/>
            <w:vAlign w:val="center"/>
          </w:tcPr>
          <w:p>
            <w:pPr>
              <w:pStyle w:val="12"/>
            </w:pPr>
            <w:r>
              <w:t>满意度指标服务对象满意度指标务的满意度受益群众对免费开放场馆(站)服</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3、2026年国防公路工役制人员及三线铁路建设民兵补贴绩效目标表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13032226P00227310068C</w:t>
            </w:r>
          </w:p>
        </w:tc>
        <w:tc>
          <w:tcPr>
            <w:tcW w:w="2835" w:type="dxa"/>
            <w:vAlign w:val="center"/>
          </w:tcPr>
          <w:p>
            <w:pPr>
              <w:pStyle w:val="10"/>
            </w:pPr>
            <w:r>
              <w:t>项目名称</w:t>
            </w:r>
          </w:p>
        </w:tc>
        <w:tc>
          <w:tcPr>
            <w:tcW w:w="6095" w:type="dxa"/>
            <w:gridSpan w:val="3"/>
            <w:vAlign w:val="center"/>
          </w:tcPr>
          <w:p>
            <w:pPr>
              <w:pStyle w:val="12"/>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2.04</w:t>
            </w:r>
          </w:p>
        </w:tc>
        <w:tc>
          <w:tcPr>
            <w:tcW w:w="2835" w:type="dxa"/>
            <w:vAlign w:val="center"/>
          </w:tcPr>
          <w:p>
            <w:pPr>
              <w:pStyle w:val="10"/>
            </w:pPr>
            <w:r>
              <w:t>其中：财政    资金</w:t>
            </w:r>
          </w:p>
        </w:tc>
        <w:tc>
          <w:tcPr>
            <w:tcW w:w="2551" w:type="dxa"/>
            <w:vAlign w:val="center"/>
          </w:tcPr>
          <w:p>
            <w:pPr>
              <w:pStyle w:val="12"/>
            </w:pPr>
            <w:r>
              <w:t>2.04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支付原国防公路建设工役制人员生活困难补贴及昌黎县“三线”铁路建设民兵补贴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1.发放原国防公路建设工役制人员生活困难补贴及昌黎县“三线”铁路建设民兵补贴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工役制人员和“三线”民兵人数</w:t>
            </w:r>
          </w:p>
        </w:tc>
        <w:tc>
          <w:tcPr>
            <w:tcW w:w="2268" w:type="dxa"/>
            <w:vAlign w:val="center"/>
          </w:tcPr>
          <w:p>
            <w:pPr>
              <w:pStyle w:val="12"/>
            </w:pPr>
            <w:r>
              <w:t>7人</w:t>
            </w:r>
          </w:p>
        </w:tc>
        <w:tc>
          <w:tcPr>
            <w:tcW w:w="1276" w:type="dxa"/>
            <w:vAlign w:val="center"/>
          </w:tcPr>
          <w:p>
            <w:pPr>
              <w:pStyle w:val="12"/>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补助资金到位率</w:t>
            </w:r>
          </w:p>
        </w:tc>
        <w:tc>
          <w:tcPr>
            <w:tcW w:w="5386" w:type="dxa"/>
            <w:vAlign w:val="center"/>
          </w:tcPr>
          <w:p>
            <w:pPr>
              <w:pStyle w:val="12"/>
            </w:pPr>
            <w:r>
              <w:t>补助资金到位率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资金发放准时率</w:t>
            </w:r>
          </w:p>
        </w:tc>
        <w:tc>
          <w:tcPr>
            <w:tcW w:w="5386" w:type="dxa"/>
            <w:vAlign w:val="center"/>
          </w:tcPr>
          <w:p>
            <w:pPr>
              <w:pStyle w:val="12"/>
            </w:pPr>
            <w:r>
              <w:t>资金发放准时率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按文件规定没有补助资金金额</w:t>
            </w:r>
          </w:p>
        </w:tc>
        <w:tc>
          <w:tcPr>
            <w:tcW w:w="2268" w:type="dxa"/>
            <w:vAlign w:val="center"/>
          </w:tcPr>
          <w:p>
            <w:pPr>
              <w:pStyle w:val="12"/>
            </w:pPr>
            <w:r>
              <w:t>≥0.17万元</w:t>
            </w:r>
          </w:p>
        </w:tc>
        <w:tc>
          <w:tcPr>
            <w:tcW w:w="1276" w:type="dxa"/>
            <w:vAlign w:val="center"/>
          </w:tcPr>
          <w:p>
            <w:pPr>
              <w:pStyle w:val="12"/>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工役制生活补贴和民兵补助资金使用效益</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保障工作开展</w:t>
            </w:r>
          </w:p>
        </w:tc>
        <w:tc>
          <w:tcPr>
            <w:tcW w:w="5386" w:type="dxa"/>
            <w:vAlign w:val="center"/>
          </w:tcPr>
          <w:p>
            <w:pPr>
              <w:pStyle w:val="12"/>
            </w:pPr>
            <w:r>
              <w:t>保障原国防路工役制人员和“三线”铁路建设民兵最低生活水平</w:t>
            </w:r>
          </w:p>
        </w:tc>
        <w:tc>
          <w:tcPr>
            <w:tcW w:w="2268" w:type="dxa"/>
            <w:vAlign w:val="center"/>
          </w:tcPr>
          <w:p>
            <w:pPr>
              <w:pStyle w:val="12"/>
            </w:pPr>
            <w:r>
              <w:t>较上年提升</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对补助人员的生活影响的时间</w:t>
            </w:r>
          </w:p>
        </w:tc>
        <w:tc>
          <w:tcPr>
            <w:tcW w:w="5386" w:type="dxa"/>
            <w:vAlign w:val="center"/>
          </w:tcPr>
          <w:p>
            <w:pPr>
              <w:pStyle w:val="12"/>
            </w:pPr>
            <w:r>
              <w:t>对补助人员的生活影响的时间</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工作目标计划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4、昌黎县农村地区清洁取暖“气代煤”运行补贴绩效目标表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13032226P00223610027D</w:t>
            </w:r>
          </w:p>
        </w:tc>
        <w:tc>
          <w:tcPr>
            <w:tcW w:w="2835" w:type="dxa"/>
            <w:vAlign w:val="center"/>
          </w:tcPr>
          <w:p>
            <w:pPr>
              <w:pStyle w:val="10"/>
            </w:pPr>
            <w:r>
              <w:t>项目名称</w:t>
            </w:r>
          </w:p>
        </w:tc>
        <w:tc>
          <w:tcPr>
            <w:tcW w:w="6095" w:type="dxa"/>
            <w:gridSpan w:val="3"/>
            <w:vAlign w:val="center"/>
          </w:tcPr>
          <w:p>
            <w:pPr>
              <w:pStyle w:val="12"/>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27.47</w:t>
            </w:r>
          </w:p>
        </w:tc>
        <w:tc>
          <w:tcPr>
            <w:tcW w:w="2835" w:type="dxa"/>
            <w:vAlign w:val="center"/>
          </w:tcPr>
          <w:p>
            <w:pPr>
              <w:pStyle w:val="10"/>
            </w:pPr>
            <w:r>
              <w:t>其中：财政    资金</w:t>
            </w:r>
          </w:p>
        </w:tc>
        <w:tc>
          <w:tcPr>
            <w:tcW w:w="2551" w:type="dxa"/>
            <w:vAlign w:val="center"/>
          </w:tcPr>
          <w:p>
            <w:pPr>
              <w:pStyle w:val="12"/>
            </w:pPr>
            <w:r>
              <w:t>27.47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用于发放“气代煤”用户燃气补贴。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1.用于支付2023-2025两个取暖季“气代煤”用户补贴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补助行政村数量</w:t>
            </w:r>
          </w:p>
        </w:tc>
        <w:tc>
          <w:tcPr>
            <w:tcW w:w="5386" w:type="dxa"/>
            <w:vAlign w:val="center"/>
          </w:tcPr>
          <w:p>
            <w:pPr>
              <w:pStyle w:val="12"/>
            </w:pPr>
            <w:r>
              <w:t>实施“气代煤”取暖的政村数量</w:t>
            </w:r>
          </w:p>
        </w:tc>
        <w:tc>
          <w:tcPr>
            <w:tcW w:w="2268" w:type="dxa"/>
            <w:vAlign w:val="center"/>
          </w:tcPr>
          <w:p>
            <w:pPr>
              <w:pStyle w:val="12"/>
            </w:pPr>
            <w:r>
              <w:t>15个</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p>
            <w:pPr>
              <w:pStyle w:val="12"/>
            </w:pPr>
          </w:p>
        </w:tc>
        <w:tc>
          <w:tcPr>
            <w:tcW w:w="5386" w:type="dxa"/>
            <w:vAlign w:val="center"/>
          </w:tcPr>
          <w:p>
            <w:pPr>
              <w:pStyle w:val="12"/>
            </w:pPr>
            <w:r>
              <w:t>“气代煤”补助资金到位率</w:t>
            </w:r>
          </w:p>
          <w:p>
            <w:pPr>
              <w:pStyle w:val="12"/>
            </w:pP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资金补助及时率</w:t>
            </w:r>
          </w:p>
        </w:tc>
        <w:tc>
          <w:tcPr>
            <w:tcW w:w="5386" w:type="dxa"/>
            <w:vAlign w:val="center"/>
          </w:tcPr>
          <w:p>
            <w:pPr>
              <w:pStyle w:val="12"/>
            </w:pPr>
            <w:r>
              <w:t>“气代煤”资金补助及时率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成本降低率</w:t>
            </w:r>
          </w:p>
        </w:tc>
        <w:tc>
          <w:tcPr>
            <w:tcW w:w="5386" w:type="dxa"/>
            <w:vAlign w:val="center"/>
          </w:tcPr>
          <w:p>
            <w:pPr>
              <w:pStyle w:val="12"/>
            </w:pPr>
            <w:r>
              <w:t>“气代煤”实施燃气成本降低率</w:t>
            </w:r>
          </w:p>
        </w:tc>
        <w:tc>
          <w:tcPr>
            <w:tcW w:w="2268" w:type="dxa"/>
            <w:vAlign w:val="center"/>
          </w:tcPr>
          <w:p>
            <w:pPr>
              <w:pStyle w:val="12"/>
            </w:pPr>
            <w:r>
              <w:t>≥20%</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“气代煤”资金</w:t>
            </w:r>
            <w:bookmarkStart w:id="1" w:name="_GoBack"/>
            <w:bookmarkEnd w:id="1"/>
            <w:r>
              <w:t>的使用效率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政策覆盖范围</w:t>
            </w:r>
          </w:p>
        </w:tc>
        <w:tc>
          <w:tcPr>
            <w:tcW w:w="5386" w:type="dxa"/>
            <w:vAlign w:val="center"/>
          </w:tcPr>
          <w:p>
            <w:pPr>
              <w:pStyle w:val="12"/>
            </w:pPr>
            <w:r>
              <w:t>推动“气代煤”政策的支出推进</w:t>
            </w:r>
          </w:p>
        </w:tc>
        <w:tc>
          <w:tcPr>
            <w:tcW w:w="2268" w:type="dxa"/>
            <w:vAlign w:val="center"/>
          </w:tcPr>
          <w:p>
            <w:pPr>
              <w:pStyle w:val="12"/>
            </w:pPr>
            <w:r>
              <w:t>积极推动</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生态环保</w:t>
            </w:r>
          </w:p>
        </w:tc>
        <w:tc>
          <w:tcPr>
            <w:tcW w:w="5386" w:type="dxa"/>
            <w:vAlign w:val="center"/>
          </w:tcPr>
          <w:p>
            <w:pPr>
              <w:pStyle w:val="12"/>
            </w:pPr>
            <w:r>
              <w:t>降低PM2.5、二氧化硫等污染物排放率</w:t>
            </w:r>
          </w:p>
        </w:tc>
        <w:tc>
          <w:tcPr>
            <w:tcW w:w="2268" w:type="dxa"/>
            <w:vAlign w:val="center"/>
          </w:tcPr>
          <w:p>
            <w:pPr>
              <w:pStyle w:val="12"/>
            </w:pPr>
            <w:r>
              <w:t>显著降低</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效果持续时间</w:t>
            </w:r>
          </w:p>
        </w:tc>
        <w:tc>
          <w:tcPr>
            <w:tcW w:w="5386" w:type="dxa"/>
            <w:vAlign w:val="center"/>
          </w:tcPr>
          <w:p>
            <w:pPr>
              <w:pStyle w:val="12"/>
            </w:pPr>
            <w:r>
              <w:t>“气代煤“效果持续时间</w:t>
            </w:r>
          </w:p>
        </w:tc>
        <w:tc>
          <w:tcPr>
            <w:tcW w:w="2268" w:type="dxa"/>
            <w:vAlign w:val="center"/>
          </w:tcPr>
          <w:p>
            <w:pPr>
              <w:pStyle w:val="12"/>
            </w:pPr>
            <w:r>
              <w:t>2年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通过调查享受“气代煤”用户比较满意占所有用户的比例</w:t>
            </w:r>
          </w:p>
        </w:tc>
        <w:tc>
          <w:tcPr>
            <w:tcW w:w="2268" w:type="dxa"/>
            <w:vAlign w:val="center"/>
          </w:tcPr>
          <w:p>
            <w:pPr>
              <w:pStyle w:val="12"/>
            </w:pPr>
            <w:r>
              <w:t>≥90%</w:t>
            </w:r>
          </w:p>
        </w:tc>
        <w:tc>
          <w:tcPr>
            <w:tcW w:w="1276" w:type="dxa"/>
            <w:vAlign w:val="center"/>
          </w:tcPr>
          <w:p>
            <w:pPr>
              <w:pStyle w:val="12"/>
            </w:pPr>
            <w:r>
              <w:t>工作目标计划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13032226P00225210409R</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33.12</w:t>
            </w:r>
          </w:p>
        </w:tc>
        <w:tc>
          <w:tcPr>
            <w:tcW w:w="2835" w:type="dxa"/>
            <w:vAlign w:val="center"/>
          </w:tcPr>
          <w:p>
            <w:pPr>
              <w:pStyle w:val="10"/>
            </w:pPr>
            <w:r>
              <w:t>其中：财政    资金</w:t>
            </w:r>
          </w:p>
        </w:tc>
        <w:tc>
          <w:tcPr>
            <w:tcW w:w="2551" w:type="dxa"/>
            <w:vAlign w:val="center"/>
          </w:tcPr>
          <w:p>
            <w:pPr>
              <w:pStyle w:val="12"/>
            </w:pPr>
            <w:r>
              <w:t>33.12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用于2026年村级党组织活动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1.通过各村党员人数按标准拨付，达到保证村党组织活动正常进行的效果。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实有补助党支部数量</w:t>
            </w:r>
          </w:p>
        </w:tc>
        <w:tc>
          <w:tcPr>
            <w:tcW w:w="5386" w:type="dxa"/>
            <w:vAlign w:val="center"/>
          </w:tcPr>
          <w:p>
            <w:pPr>
              <w:pStyle w:val="12"/>
            </w:pPr>
            <w:r>
              <w:t>实有补助党支部数量</w:t>
            </w:r>
          </w:p>
        </w:tc>
        <w:tc>
          <w:tcPr>
            <w:tcW w:w="2268" w:type="dxa"/>
            <w:vAlign w:val="center"/>
          </w:tcPr>
          <w:p>
            <w:pPr>
              <w:pStyle w:val="12"/>
            </w:pPr>
            <w:r>
              <w:t>42个</w:t>
            </w:r>
          </w:p>
        </w:tc>
        <w:tc>
          <w:tcPr>
            <w:tcW w:w="1276" w:type="dxa"/>
            <w:vAlign w:val="center"/>
          </w:tcPr>
          <w:p>
            <w:pPr>
              <w:pStyle w:val="12"/>
            </w:pPr>
            <w:r>
              <w:t>实有党支部数量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学习培训参与率</w:t>
            </w:r>
          </w:p>
        </w:tc>
        <w:tc>
          <w:tcPr>
            <w:tcW w:w="5386" w:type="dxa"/>
            <w:vAlign w:val="center"/>
          </w:tcPr>
          <w:p>
            <w:pPr>
              <w:pStyle w:val="12"/>
            </w:pPr>
            <w:r>
              <w:t>参加学习培训人员占全部党员人数的比例</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按时发放资金占实际到位资金的比例</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保障标准</w:t>
            </w:r>
          </w:p>
        </w:tc>
        <w:tc>
          <w:tcPr>
            <w:tcW w:w="5386" w:type="dxa"/>
            <w:vAlign w:val="center"/>
          </w:tcPr>
          <w:p>
            <w:pPr>
              <w:pStyle w:val="12"/>
            </w:pPr>
            <w:r>
              <w:t>每个党员每年应享受的保障标准</w:t>
            </w:r>
          </w:p>
        </w:tc>
        <w:tc>
          <w:tcPr>
            <w:tcW w:w="2268" w:type="dxa"/>
            <w:vAlign w:val="center"/>
          </w:tcPr>
          <w:p>
            <w:pPr>
              <w:pStyle w:val="12"/>
            </w:pPr>
            <w:r>
              <w:t>200元</w:t>
            </w:r>
          </w:p>
        </w:tc>
        <w:tc>
          <w:tcPr>
            <w:tcW w:w="1276" w:type="dxa"/>
            <w:vAlign w:val="center"/>
          </w:tcPr>
          <w:p>
            <w:pPr>
              <w:pStyle w:val="12"/>
            </w:pPr>
            <w:r>
              <w:t>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全年集体经济收入比上年增长数占上年收入数的比例</w:t>
            </w:r>
          </w:p>
        </w:tc>
        <w:tc>
          <w:tcPr>
            <w:tcW w:w="2268" w:type="dxa"/>
            <w:vAlign w:val="center"/>
          </w:tcPr>
          <w:p>
            <w:pPr>
              <w:pStyle w:val="12"/>
            </w:pPr>
            <w:r>
              <w:t>≥3%</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保障村党支部组织党员活动率</w:t>
            </w:r>
          </w:p>
        </w:tc>
        <w:tc>
          <w:tcPr>
            <w:tcW w:w="5386" w:type="dxa"/>
            <w:vAlign w:val="center"/>
          </w:tcPr>
          <w:p>
            <w:pPr>
              <w:pStyle w:val="12"/>
            </w:pPr>
            <w:r>
              <w:t>村党支部组织党员活动占全年的比率</w:t>
            </w:r>
          </w:p>
        </w:tc>
        <w:tc>
          <w:tcPr>
            <w:tcW w:w="2268" w:type="dxa"/>
            <w:vAlign w:val="center"/>
          </w:tcPr>
          <w:p>
            <w:pPr>
              <w:pStyle w:val="12"/>
            </w:pPr>
            <w:r>
              <w:t>≥90%</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办公期间能源节约，节约水电等能源情况</w:t>
            </w:r>
          </w:p>
        </w:tc>
        <w:tc>
          <w:tcPr>
            <w:tcW w:w="2268" w:type="dxa"/>
            <w:vAlign w:val="center"/>
          </w:tcPr>
          <w:p>
            <w:pPr>
              <w:pStyle w:val="12"/>
            </w:pPr>
            <w:r>
              <w:t>较上年提高</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村级党组织活动经费的可持续影响</w:t>
            </w:r>
          </w:p>
        </w:tc>
        <w:tc>
          <w:tcPr>
            <w:tcW w:w="5386" w:type="dxa"/>
            <w:vAlign w:val="center"/>
          </w:tcPr>
          <w:p>
            <w:pPr>
              <w:pStyle w:val="12"/>
            </w:pPr>
            <w:r>
              <w:t>村级党组组活动经费发放，保障村党支部正常开展活动的时限</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村级党组织成员满意度</w:t>
            </w:r>
          </w:p>
        </w:tc>
        <w:tc>
          <w:tcPr>
            <w:tcW w:w="5386" w:type="dxa"/>
            <w:vAlign w:val="center"/>
          </w:tcPr>
          <w:p>
            <w:pPr>
              <w:pStyle w:val="12"/>
            </w:pPr>
            <w:r>
              <w:t>调查中满意或较满意的村级党组织成员占被调查村级党组织成员的比例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6、村党组织书记、村民委员会主任基础补贴绩效目标表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13032226P00225210411Q</w:t>
            </w:r>
          </w:p>
        </w:tc>
        <w:tc>
          <w:tcPr>
            <w:tcW w:w="2835" w:type="dxa"/>
            <w:vAlign w:val="center"/>
          </w:tcPr>
          <w:p>
            <w:pPr>
              <w:pStyle w:val="10"/>
            </w:pPr>
            <w:r>
              <w:t>项目名称</w:t>
            </w:r>
          </w:p>
        </w:tc>
        <w:tc>
          <w:tcPr>
            <w:tcW w:w="6095" w:type="dxa"/>
            <w:gridSpan w:val="3"/>
            <w:vAlign w:val="center"/>
          </w:tcPr>
          <w:p>
            <w:pPr>
              <w:pStyle w:val="12"/>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224.81</w:t>
            </w:r>
          </w:p>
        </w:tc>
        <w:tc>
          <w:tcPr>
            <w:tcW w:w="2835" w:type="dxa"/>
            <w:vAlign w:val="center"/>
          </w:tcPr>
          <w:p>
            <w:pPr>
              <w:pStyle w:val="10"/>
            </w:pPr>
            <w:r>
              <w:t>其中：财政    资金</w:t>
            </w:r>
          </w:p>
        </w:tc>
        <w:tc>
          <w:tcPr>
            <w:tcW w:w="2551" w:type="dxa"/>
            <w:vAlign w:val="center"/>
          </w:tcPr>
          <w:p>
            <w:pPr>
              <w:pStyle w:val="12"/>
            </w:pPr>
            <w:r>
              <w:t>224.81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支付2026年村党组织书记、村委会主任基础补贴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1.保障2026年村党组织书记、村委会主任基础补贴，保证村组织正常运行。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≥42人</w:t>
            </w:r>
          </w:p>
        </w:tc>
        <w:tc>
          <w:tcPr>
            <w:tcW w:w="1276" w:type="dxa"/>
            <w:vAlign w:val="center"/>
          </w:tcPr>
          <w:p>
            <w:pPr>
              <w:pStyle w:val="12"/>
            </w:pPr>
            <w:r>
              <w:t>实有人数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正职补助标准</w:t>
            </w:r>
          </w:p>
        </w:tc>
        <w:tc>
          <w:tcPr>
            <w:tcW w:w="5386" w:type="dxa"/>
            <w:vAlign w:val="center"/>
          </w:tcPr>
          <w:p>
            <w:pPr>
              <w:pStyle w:val="12"/>
            </w:pPr>
            <w:r>
              <w:t>村干部正职年全年补贴标准</w:t>
            </w:r>
          </w:p>
        </w:tc>
        <w:tc>
          <w:tcPr>
            <w:tcW w:w="2268" w:type="dxa"/>
            <w:vAlign w:val="center"/>
          </w:tcPr>
          <w:p>
            <w:pPr>
              <w:pStyle w:val="12"/>
            </w:pPr>
            <w:r>
              <w:t>≤37262.4元/人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提高村级行政单位办公能力</w:t>
            </w:r>
          </w:p>
        </w:tc>
        <w:tc>
          <w:tcPr>
            <w:tcW w:w="5386" w:type="dxa"/>
            <w:vAlign w:val="center"/>
          </w:tcPr>
          <w:p>
            <w:pPr>
              <w:pStyle w:val="12"/>
            </w:pPr>
            <w:r>
              <w:t>村民矛盾纠纷化解率</w:t>
            </w:r>
          </w:p>
        </w:tc>
        <w:tc>
          <w:tcPr>
            <w:tcW w:w="2268" w:type="dxa"/>
            <w:vAlign w:val="center"/>
          </w:tcPr>
          <w:p>
            <w:pPr>
              <w:pStyle w:val="12"/>
            </w:pPr>
            <w:r>
              <w:t>≥90%</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13032226P002252104086</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村级办公支出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1.通过确保水电暖等费用及时支付，达到保证村级组织的正常运转的效果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保障行政村办公数量</w:t>
            </w:r>
          </w:p>
        </w:tc>
        <w:tc>
          <w:tcPr>
            <w:tcW w:w="5386" w:type="dxa"/>
            <w:vAlign w:val="center"/>
          </w:tcPr>
          <w:p>
            <w:pPr>
              <w:pStyle w:val="12"/>
            </w:pPr>
            <w:r>
              <w:t xml:space="preserve"> 享受村级办公经费保障办公的村委会个数</w:t>
            </w:r>
          </w:p>
        </w:tc>
        <w:tc>
          <w:tcPr>
            <w:tcW w:w="2268" w:type="dxa"/>
            <w:vAlign w:val="center"/>
          </w:tcPr>
          <w:p>
            <w:pPr>
              <w:pStyle w:val="12"/>
            </w:pPr>
            <w:r>
              <w:t>42个</w:t>
            </w:r>
          </w:p>
        </w:tc>
        <w:tc>
          <w:tcPr>
            <w:tcW w:w="1276" w:type="dxa"/>
            <w:vAlign w:val="center"/>
          </w:tcPr>
          <w:p>
            <w:pPr>
              <w:pStyle w:val="12"/>
            </w:pPr>
            <w:r>
              <w:t>实有行政村数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办公经费发放率</w:t>
            </w:r>
          </w:p>
        </w:tc>
        <w:tc>
          <w:tcPr>
            <w:tcW w:w="5386" w:type="dxa"/>
            <w:vAlign w:val="center"/>
          </w:tcPr>
          <w:p>
            <w:pPr>
              <w:pStyle w:val="12"/>
            </w:pPr>
            <w:r>
              <w:t>发放办公经费数占办公经费总数的比率</w:t>
            </w:r>
          </w:p>
        </w:tc>
        <w:tc>
          <w:tcPr>
            <w:tcW w:w="2268" w:type="dxa"/>
            <w:vAlign w:val="center"/>
          </w:tcPr>
          <w:p>
            <w:pPr>
              <w:pStyle w:val="12"/>
            </w:pPr>
            <w:r>
              <w:t>≥95%</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各事项费用支付及时率</w:t>
            </w:r>
          </w:p>
        </w:tc>
        <w:tc>
          <w:tcPr>
            <w:tcW w:w="5386" w:type="dxa"/>
            <w:vAlign w:val="center"/>
          </w:tcPr>
          <w:p>
            <w:pPr>
              <w:pStyle w:val="12"/>
            </w:pPr>
            <w:r>
              <w:t>及时支付村级办公经费金额占实际到位办公经费金额的比例</w:t>
            </w:r>
          </w:p>
        </w:tc>
        <w:tc>
          <w:tcPr>
            <w:tcW w:w="2268" w:type="dxa"/>
            <w:vAlign w:val="center"/>
          </w:tcPr>
          <w:p>
            <w:pPr>
              <w:pStyle w:val="12"/>
            </w:pPr>
            <w:r>
              <w:t>≥95%</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发放办公经费成本</w:t>
            </w:r>
          </w:p>
        </w:tc>
        <w:tc>
          <w:tcPr>
            <w:tcW w:w="5386" w:type="dxa"/>
            <w:vAlign w:val="center"/>
          </w:tcPr>
          <w:p>
            <w:pPr>
              <w:pStyle w:val="12"/>
            </w:pPr>
            <w:r>
              <w:t>村级办公经费保障村标准</w:t>
            </w:r>
          </w:p>
        </w:tc>
        <w:tc>
          <w:tcPr>
            <w:tcW w:w="2268" w:type="dxa"/>
            <w:vAlign w:val="center"/>
          </w:tcPr>
          <w:p>
            <w:pPr>
              <w:pStyle w:val="12"/>
            </w:pPr>
            <w:r>
              <w:t>0.5万</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≥1%</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提高村委会行政办公效率</w:t>
            </w:r>
          </w:p>
        </w:tc>
        <w:tc>
          <w:tcPr>
            <w:tcW w:w="5386" w:type="dxa"/>
            <w:vAlign w:val="center"/>
          </w:tcPr>
          <w:p>
            <w:pPr>
              <w:pStyle w:val="12"/>
            </w:pPr>
            <w:r>
              <w:t>及时足额拨付村级办公经费，提高村级行政单位办公能力</w:t>
            </w:r>
          </w:p>
        </w:tc>
        <w:tc>
          <w:tcPr>
            <w:tcW w:w="2268" w:type="dxa"/>
            <w:vAlign w:val="center"/>
          </w:tcPr>
          <w:p>
            <w:pPr>
              <w:pStyle w:val="12"/>
            </w:pPr>
            <w:r>
              <w:t>较上年提高</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较上年提高</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村级办公经费的可持续影响</w:t>
            </w:r>
          </w:p>
        </w:tc>
        <w:tc>
          <w:tcPr>
            <w:tcW w:w="5386" w:type="dxa"/>
            <w:vAlign w:val="center"/>
          </w:tcPr>
          <w:p>
            <w:pPr>
              <w:pStyle w:val="12"/>
            </w:pPr>
            <w:r>
              <w:t>村级办公经费发放，保障村委会正常运转办公的时限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r>
              <w:tab/>
            </w:r>
          </w:p>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8、服务群众专项经费-农村环卫保洁员工资绩效目标表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13032226P00225210295K</w:t>
            </w:r>
          </w:p>
        </w:tc>
        <w:tc>
          <w:tcPr>
            <w:tcW w:w="2835" w:type="dxa"/>
            <w:vAlign w:val="center"/>
          </w:tcPr>
          <w:p>
            <w:pPr>
              <w:pStyle w:val="10"/>
            </w:pPr>
            <w:r>
              <w:t>项目名称</w:t>
            </w:r>
          </w:p>
        </w:tc>
        <w:tc>
          <w:tcPr>
            <w:tcW w:w="6095" w:type="dxa"/>
            <w:gridSpan w:val="3"/>
            <w:vAlign w:val="center"/>
          </w:tcPr>
          <w:p>
            <w:pPr>
              <w:pStyle w:val="12"/>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98.04</w:t>
            </w:r>
          </w:p>
        </w:tc>
        <w:tc>
          <w:tcPr>
            <w:tcW w:w="2835" w:type="dxa"/>
            <w:vAlign w:val="center"/>
          </w:tcPr>
          <w:p>
            <w:pPr>
              <w:pStyle w:val="10"/>
            </w:pPr>
            <w:r>
              <w:t>其中：财政    资金</w:t>
            </w:r>
          </w:p>
        </w:tc>
        <w:tc>
          <w:tcPr>
            <w:tcW w:w="2551" w:type="dxa"/>
            <w:vAlign w:val="center"/>
          </w:tcPr>
          <w:p>
            <w:pPr>
              <w:pStyle w:val="12"/>
            </w:pPr>
            <w:r>
              <w:t>98.04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1.确保农村保洁员资金及时支付，保障保洁工作正常开展。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保洁工资核算标准</w:t>
            </w:r>
          </w:p>
        </w:tc>
        <w:tc>
          <w:tcPr>
            <w:tcW w:w="5386" w:type="dxa"/>
            <w:vAlign w:val="center"/>
          </w:tcPr>
          <w:p>
            <w:pPr>
              <w:pStyle w:val="12"/>
            </w:pPr>
            <w:r>
              <w:t>保洁员工资标准</w:t>
            </w:r>
          </w:p>
        </w:tc>
        <w:tc>
          <w:tcPr>
            <w:tcW w:w="2268" w:type="dxa"/>
            <w:vAlign w:val="center"/>
          </w:tcPr>
          <w:p>
            <w:pPr>
              <w:pStyle w:val="12"/>
            </w:pPr>
            <w:r>
              <w:t>≤700元/人/月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享受保洁服务村数</w:t>
            </w:r>
          </w:p>
        </w:tc>
        <w:tc>
          <w:tcPr>
            <w:tcW w:w="5386" w:type="dxa"/>
            <w:vAlign w:val="center"/>
          </w:tcPr>
          <w:p>
            <w:pPr>
              <w:pStyle w:val="12"/>
            </w:pPr>
            <w:r>
              <w:t>享受保障村委会个数</w:t>
            </w:r>
          </w:p>
        </w:tc>
        <w:tc>
          <w:tcPr>
            <w:tcW w:w="2268" w:type="dxa"/>
            <w:vAlign w:val="center"/>
          </w:tcPr>
          <w:p>
            <w:pPr>
              <w:pStyle w:val="12"/>
            </w:pPr>
            <w:r>
              <w:t>42个</w:t>
            </w:r>
          </w:p>
        </w:tc>
        <w:tc>
          <w:tcPr>
            <w:tcW w:w="1276" w:type="dxa"/>
            <w:vAlign w:val="center"/>
          </w:tcPr>
          <w:p>
            <w:pPr>
              <w:pStyle w:val="12"/>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经费发放覆盖率</w:t>
            </w:r>
          </w:p>
        </w:tc>
        <w:tc>
          <w:tcPr>
            <w:tcW w:w="5386" w:type="dxa"/>
            <w:vAlign w:val="center"/>
          </w:tcPr>
          <w:p>
            <w:pPr>
              <w:pStyle w:val="12"/>
            </w:pPr>
            <w:r>
              <w:t>实际享受农村保洁员经费人数占全部保洁员人数比率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资金发放到位率</w:t>
            </w:r>
          </w:p>
        </w:tc>
        <w:tc>
          <w:tcPr>
            <w:tcW w:w="5386" w:type="dxa"/>
            <w:vAlign w:val="center"/>
          </w:tcPr>
          <w:p>
            <w:pPr>
              <w:pStyle w:val="12"/>
            </w:pPr>
            <w:r>
              <w:t>全年实际发放金额占应发放资金总额的比率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对村环境卫生工作发挥的作用是否可持续</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成本利用率</w:t>
            </w:r>
          </w:p>
        </w:tc>
        <w:tc>
          <w:tcPr>
            <w:tcW w:w="5386" w:type="dxa"/>
            <w:vAlign w:val="center"/>
          </w:tcPr>
          <w:p>
            <w:pPr>
              <w:pStyle w:val="12"/>
            </w:pPr>
            <w:r>
              <w:t>保洁耗材损耗率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对公众环境卫生的改善作用</w:t>
            </w:r>
          </w:p>
        </w:tc>
        <w:tc>
          <w:tcPr>
            <w:tcW w:w="5386" w:type="dxa"/>
            <w:vAlign w:val="center"/>
          </w:tcPr>
          <w:p>
            <w:pPr>
              <w:pStyle w:val="12"/>
            </w:pPr>
            <w:r>
              <w:t>村民对环卫服务满意度</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9、服务群众专项经费-农村垃圾治理保洁服务费绩效目标表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13032226P002252102967</w:t>
            </w:r>
          </w:p>
        </w:tc>
        <w:tc>
          <w:tcPr>
            <w:tcW w:w="2835" w:type="dxa"/>
            <w:vAlign w:val="center"/>
          </w:tcPr>
          <w:p>
            <w:pPr>
              <w:pStyle w:val="10"/>
            </w:pPr>
            <w:r>
              <w:t>项目名称</w:t>
            </w:r>
          </w:p>
        </w:tc>
        <w:tc>
          <w:tcPr>
            <w:tcW w:w="6095" w:type="dxa"/>
            <w:gridSpan w:val="3"/>
            <w:vAlign w:val="center"/>
          </w:tcPr>
          <w:p>
            <w:pPr>
              <w:pStyle w:val="12"/>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69.32</w:t>
            </w:r>
          </w:p>
        </w:tc>
        <w:tc>
          <w:tcPr>
            <w:tcW w:w="2835" w:type="dxa"/>
            <w:vAlign w:val="center"/>
          </w:tcPr>
          <w:p>
            <w:pPr>
              <w:pStyle w:val="10"/>
            </w:pPr>
            <w:r>
              <w:t>其中：财政    资金</w:t>
            </w:r>
          </w:p>
        </w:tc>
        <w:tc>
          <w:tcPr>
            <w:tcW w:w="2551" w:type="dxa"/>
            <w:vAlign w:val="center"/>
          </w:tcPr>
          <w:p>
            <w:pPr>
              <w:pStyle w:val="12"/>
            </w:pPr>
            <w:r>
              <w:t>69.32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垃圾清理保洁支出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1.确保农村保洁员资金及时支付，保障保洁工作正常开展。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环境整治标准</w:t>
            </w:r>
          </w:p>
        </w:tc>
        <w:tc>
          <w:tcPr>
            <w:tcW w:w="5386" w:type="dxa"/>
            <w:vAlign w:val="center"/>
          </w:tcPr>
          <w:p>
            <w:pPr>
              <w:pStyle w:val="12"/>
            </w:pPr>
            <w:r>
              <w:t>村庄环境整治资金标准</w:t>
            </w:r>
          </w:p>
        </w:tc>
        <w:tc>
          <w:tcPr>
            <w:tcW w:w="2268" w:type="dxa"/>
            <w:vAlign w:val="center"/>
          </w:tcPr>
          <w:p>
            <w:pPr>
              <w:pStyle w:val="12"/>
            </w:pPr>
            <w:r>
              <w:t>≤5.78万元/月</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环境整治村庄数量</w:t>
            </w:r>
          </w:p>
        </w:tc>
        <w:tc>
          <w:tcPr>
            <w:tcW w:w="5386" w:type="dxa"/>
            <w:vAlign w:val="center"/>
          </w:tcPr>
          <w:p>
            <w:pPr>
              <w:pStyle w:val="12"/>
            </w:pPr>
            <w:r>
              <w:t>享受整治资金保障的村庄数量</w:t>
            </w:r>
          </w:p>
        </w:tc>
        <w:tc>
          <w:tcPr>
            <w:tcW w:w="2268" w:type="dxa"/>
            <w:vAlign w:val="center"/>
          </w:tcPr>
          <w:p>
            <w:pPr>
              <w:pStyle w:val="12"/>
            </w:pPr>
            <w:r>
              <w:t>42个</w:t>
            </w:r>
          </w:p>
        </w:tc>
        <w:tc>
          <w:tcPr>
            <w:tcW w:w="1276" w:type="dxa"/>
            <w:vAlign w:val="center"/>
          </w:tcPr>
          <w:p>
            <w:pPr>
              <w:pStyle w:val="12"/>
            </w:pPr>
            <w:r>
              <w:t>实有行政村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整治覆盖率</w:t>
            </w:r>
          </w:p>
        </w:tc>
        <w:tc>
          <w:tcPr>
            <w:tcW w:w="5386" w:type="dxa"/>
            <w:vAlign w:val="center"/>
          </w:tcPr>
          <w:p>
            <w:pPr>
              <w:pStyle w:val="12"/>
            </w:pPr>
            <w:r>
              <w:t>已整治的区域面积占全区应整治区域面积的比例</w:t>
            </w:r>
          </w:p>
        </w:tc>
        <w:tc>
          <w:tcPr>
            <w:tcW w:w="2268" w:type="dxa"/>
            <w:vAlign w:val="center"/>
          </w:tcPr>
          <w:p>
            <w:pPr>
              <w:pStyle w:val="12"/>
            </w:pPr>
            <w:r>
              <w:t>≥95%</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经费支付及时率</w:t>
            </w:r>
          </w:p>
        </w:tc>
        <w:tc>
          <w:tcPr>
            <w:tcW w:w="5386" w:type="dxa"/>
            <w:vAlign w:val="center"/>
          </w:tcPr>
          <w:p>
            <w:pPr>
              <w:pStyle w:val="12"/>
            </w:pPr>
            <w:r>
              <w:t>及时发放的整治经费占所有经费的比率</w:t>
            </w:r>
          </w:p>
        </w:tc>
        <w:tc>
          <w:tcPr>
            <w:tcW w:w="2268" w:type="dxa"/>
            <w:vAlign w:val="center"/>
          </w:tcPr>
          <w:p>
            <w:pPr>
              <w:pStyle w:val="12"/>
            </w:pPr>
            <w:r>
              <w:t>≥95%</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对农村环境的影响</w:t>
            </w:r>
          </w:p>
        </w:tc>
        <w:tc>
          <w:tcPr>
            <w:tcW w:w="5386" w:type="dxa"/>
            <w:vAlign w:val="center"/>
          </w:tcPr>
          <w:p>
            <w:pPr>
              <w:pStyle w:val="12"/>
            </w:pPr>
            <w:r>
              <w:t>保洁员工作对农村环境的影响</w:t>
            </w:r>
          </w:p>
        </w:tc>
        <w:tc>
          <w:tcPr>
            <w:tcW w:w="2268" w:type="dxa"/>
            <w:vAlign w:val="center"/>
          </w:tcPr>
          <w:p>
            <w:pPr>
              <w:pStyle w:val="12"/>
            </w:pPr>
            <w:r>
              <w:t>较上年提高</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整治工作影响的可持续性</w:t>
            </w:r>
          </w:p>
        </w:tc>
        <w:tc>
          <w:tcPr>
            <w:tcW w:w="5386" w:type="dxa"/>
            <w:vAlign w:val="center"/>
          </w:tcPr>
          <w:p>
            <w:pPr>
              <w:pStyle w:val="12"/>
            </w:pPr>
            <w:r>
              <w:t>整治工作影响的可持续性</w:t>
            </w:r>
          </w:p>
        </w:tc>
        <w:tc>
          <w:tcPr>
            <w:tcW w:w="2268" w:type="dxa"/>
            <w:vAlign w:val="center"/>
          </w:tcPr>
          <w:p>
            <w:pPr>
              <w:pStyle w:val="12"/>
            </w:pPr>
            <w:r>
              <w:t>1年</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对经济发展质量的影响</w:t>
            </w:r>
          </w:p>
        </w:tc>
        <w:tc>
          <w:tcPr>
            <w:tcW w:w="5386" w:type="dxa"/>
            <w:vAlign w:val="center"/>
          </w:tcPr>
          <w:p>
            <w:pPr>
              <w:pStyle w:val="12"/>
            </w:pPr>
            <w:r>
              <w:t>项目实施对经济发展质量的影响</w:t>
            </w:r>
          </w:p>
        </w:tc>
        <w:tc>
          <w:tcPr>
            <w:tcW w:w="2268" w:type="dxa"/>
            <w:vAlign w:val="center"/>
          </w:tcPr>
          <w:p>
            <w:pPr>
              <w:pStyle w:val="12"/>
            </w:pPr>
            <w:r>
              <w:t>较上年提高</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提升新集镇农村人居环境受益人数</w:t>
            </w:r>
          </w:p>
        </w:tc>
        <w:tc>
          <w:tcPr>
            <w:tcW w:w="5386" w:type="dxa"/>
            <w:vAlign w:val="center"/>
          </w:tcPr>
          <w:p>
            <w:pPr>
              <w:pStyle w:val="12"/>
            </w:pPr>
            <w:r>
              <w:t>提升新集镇农村人居环境受益的人口数</w:t>
            </w:r>
          </w:p>
        </w:tc>
        <w:tc>
          <w:tcPr>
            <w:tcW w:w="2268" w:type="dxa"/>
            <w:vAlign w:val="center"/>
          </w:tcPr>
          <w:p>
            <w:pPr>
              <w:pStyle w:val="12"/>
            </w:pPr>
            <w:r>
              <w:t>≥30000人</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10、服务群众专项经费-综合服务站绩效目标表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13032226P00225210298E</w:t>
            </w:r>
          </w:p>
        </w:tc>
        <w:tc>
          <w:tcPr>
            <w:tcW w:w="2835" w:type="dxa"/>
            <w:vAlign w:val="center"/>
          </w:tcPr>
          <w:p>
            <w:pPr>
              <w:pStyle w:val="10"/>
            </w:pPr>
            <w:r>
              <w:t>项目名称</w:t>
            </w:r>
          </w:p>
        </w:tc>
        <w:tc>
          <w:tcPr>
            <w:tcW w:w="6095" w:type="dxa"/>
            <w:gridSpan w:val="3"/>
            <w:vAlign w:val="center"/>
          </w:tcPr>
          <w:p>
            <w:pPr>
              <w:pStyle w:val="12"/>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用于综合服务站建设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1.通过加强农村综合服务站建设，不断提高村级为民服务能力。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经费保障行政村个数</w:t>
            </w:r>
          </w:p>
        </w:tc>
        <w:tc>
          <w:tcPr>
            <w:tcW w:w="5386" w:type="dxa"/>
            <w:vAlign w:val="center"/>
          </w:tcPr>
          <w:p>
            <w:pPr>
              <w:pStyle w:val="12"/>
            </w:pPr>
            <w:r>
              <w:t>经费保障行政村总数</w:t>
            </w:r>
          </w:p>
        </w:tc>
        <w:tc>
          <w:tcPr>
            <w:tcW w:w="2268" w:type="dxa"/>
            <w:vAlign w:val="center"/>
          </w:tcPr>
          <w:p>
            <w:pPr>
              <w:pStyle w:val="12"/>
            </w:pPr>
            <w:r>
              <w:t>42个</w:t>
            </w:r>
          </w:p>
        </w:tc>
        <w:tc>
          <w:tcPr>
            <w:tcW w:w="1276" w:type="dxa"/>
            <w:vAlign w:val="center"/>
          </w:tcPr>
          <w:p>
            <w:pPr>
              <w:pStyle w:val="12"/>
            </w:pPr>
            <w:r>
              <w:t>实有行政村数量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资金发放覆盖率</w:t>
            </w:r>
          </w:p>
        </w:tc>
        <w:tc>
          <w:tcPr>
            <w:tcW w:w="5386" w:type="dxa"/>
            <w:vAlign w:val="center"/>
          </w:tcPr>
          <w:p>
            <w:pPr>
              <w:pStyle w:val="12"/>
            </w:pPr>
            <w:r>
              <w:t>发放项目资金行政村占我镇所有行政村的比例</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专项经费发放及占总经费金额的比例</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经费保障标准</w:t>
            </w:r>
          </w:p>
        </w:tc>
        <w:tc>
          <w:tcPr>
            <w:tcW w:w="5386" w:type="dxa"/>
            <w:vAlign w:val="center"/>
          </w:tcPr>
          <w:p>
            <w:pPr>
              <w:pStyle w:val="12"/>
            </w:pPr>
            <w:r>
              <w:t>每个行政村每年保障标准</w:t>
            </w:r>
          </w:p>
        </w:tc>
        <w:tc>
          <w:tcPr>
            <w:tcW w:w="2268" w:type="dxa"/>
            <w:vAlign w:val="center"/>
          </w:tcPr>
          <w:p>
            <w:pPr>
              <w:pStyle w:val="12"/>
            </w:pPr>
            <w:r>
              <w:t>0.5万</w:t>
            </w:r>
          </w:p>
        </w:tc>
        <w:tc>
          <w:tcPr>
            <w:tcW w:w="1276" w:type="dxa"/>
            <w:vAlign w:val="center"/>
          </w:tcPr>
          <w:p>
            <w:pPr>
              <w:pStyle w:val="12"/>
            </w:pPr>
            <w:r>
              <w:t>2026年补助标准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对各村经济发展的影响</w:t>
            </w:r>
          </w:p>
        </w:tc>
        <w:tc>
          <w:tcPr>
            <w:tcW w:w="5386" w:type="dxa"/>
            <w:vAlign w:val="center"/>
          </w:tcPr>
          <w:p>
            <w:pPr>
              <w:pStyle w:val="12"/>
            </w:pPr>
            <w:r>
              <w:t>对各行政村经济发展的影响</w:t>
            </w:r>
          </w:p>
        </w:tc>
        <w:tc>
          <w:tcPr>
            <w:tcW w:w="2268" w:type="dxa"/>
            <w:vAlign w:val="center"/>
          </w:tcPr>
          <w:p>
            <w:pPr>
              <w:pStyle w:val="12"/>
            </w:pPr>
            <w:r>
              <w:t>较上年提高</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对各村内村民关系的影响</w:t>
            </w:r>
          </w:p>
        </w:tc>
        <w:tc>
          <w:tcPr>
            <w:tcW w:w="5386" w:type="dxa"/>
            <w:vAlign w:val="center"/>
          </w:tcPr>
          <w:p>
            <w:pPr>
              <w:pStyle w:val="12"/>
            </w:pPr>
            <w:r>
              <w:t>对各村内村民的影响</w:t>
            </w:r>
          </w:p>
        </w:tc>
        <w:tc>
          <w:tcPr>
            <w:tcW w:w="2268" w:type="dxa"/>
            <w:vAlign w:val="center"/>
          </w:tcPr>
          <w:p>
            <w:pPr>
              <w:pStyle w:val="12"/>
            </w:pPr>
            <w:r>
              <w:t>较上年向上</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w:t>
            </w:r>
          </w:p>
        </w:tc>
        <w:tc>
          <w:tcPr>
            <w:tcW w:w="5386" w:type="dxa"/>
            <w:vAlign w:val="center"/>
          </w:tcPr>
          <w:p>
            <w:pPr>
              <w:pStyle w:val="12"/>
            </w:pPr>
            <w:r>
              <w:t>节约村集体资源，降低能耗，实现绿色办公</w:t>
            </w:r>
          </w:p>
        </w:tc>
        <w:tc>
          <w:tcPr>
            <w:tcW w:w="2268" w:type="dxa"/>
            <w:vAlign w:val="center"/>
          </w:tcPr>
          <w:p>
            <w:pPr>
              <w:pStyle w:val="12"/>
            </w:pPr>
            <w:r>
              <w:t>较上年降低</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农村综合服务站工作可持续性</w:t>
            </w:r>
          </w:p>
        </w:tc>
        <w:tc>
          <w:tcPr>
            <w:tcW w:w="5386" w:type="dxa"/>
            <w:vAlign w:val="center"/>
          </w:tcPr>
          <w:p>
            <w:pPr>
              <w:pStyle w:val="12"/>
            </w:pPr>
            <w:r>
              <w:t>农村综合服务站工作可持续性</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11、冀财教〔2025〕115号-提前下达2026年中央支持地方文化服务体系建设补助资金（文化站免费开放）绩效目标表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13032226P00217210092W</w:t>
            </w:r>
          </w:p>
        </w:tc>
        <w:tc>
          <w:tcPr>
            <w:tcW w:w="2835" w:type="dxa"/>
            <w:vAlign w:val="center"/>
          </w:tcPr>
          <w:p>
            <w:pPr>
              <w:pStyle w:val="10"/>
            </w:pPr>
            <w:r>
              <w:t>项目名称</w:t>
            </w:r>
          </w:p>
        </w:tc>
        <w:tc>
          <w:tcPr>
            <w:tcW w:w="6095" w:type="dxa"/>
            <w:gridSpan w:val="3"/>
            <w:vAlign w:val="center"/>
          </w:tcPr>
          <w:p>
            <w:pPr>
              <w:pStyle w:val="12"/>
            </w:pPr>
            <w:r>
              <w:t>冀财教〔2025〕115号-提前下达2026年中央支持地方文化服务体系建设补助资金（文化站免费开放）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公共图书馆、美术馆、文化馆以及乡镇综合体目标文化站全部免费向社会公众开展基本公共文化服务。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1.公共图书馆、美术馆、文化馆以及乡镇综合体目标文化站全部免费向社会公众开展基本公共文化服务。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免费开放场馆(站)组织举办各类展览、培训、讲座等文化活动的数</w:t>
            </w:r>
          </w:p>
        </w:tc>
        <w:tc>
          <w:tcPr>
            <w:tcW w:w="5386" w:type="dxa"/>
            <w:vAlign w:val="center"/>
          </w:tcPr>
          <w:p>
            <w:pPr>
              <w:pStyle w:val="12"/>
            </w:pPr>
            <w:r>
              <w:t>免费开放场馆(站)组织举办各类展览、培训、讲座等文化活动的数</w:t>
            </w:r>
          </w:p>
        </w:tc>
        <w:tc>
          <w:tcPr>
            <w:tcW w:w="2268" w:type="dxa"/>
            <w:vAlign w:val="center"/>
          </w:tcPr>
          <w:p>
            <w:pPr>
              <w:pStyle w:val="12"/>
            </w:pPr>
            <w:r>
              <w:t>≥1次</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群众参与费开放文化场馆(站)组织活动的人次</w:t>
            </w:r>
          </w:p>
        </w:tc>
        <w:tc>
          <w:tcPr>
            <w:tcW w:w="5386" w:type="dxa"/>
            <w:vAlign w:val="center"/>
          </w:tcPr>
          <w:p>
            <w:pPr>
              <w:pStyle w:val="12"/>
            </w:pPr>
            <w:r>
              <w:t>群众参与费开放文化场馆(站)组织活动的人次</w:t>
            </w:r>
          </w:p>
        </w:tc>
        <w:tc>
          <w:tcPr>
            <w:tcW w:w="2268" w:type="dxa"/>
            <w:vAlign w:val="center"/>
          </w:tcPr>
          <w:p>
            <w:pPr>
              <w:pStyle w:val="12"/>
            </w:pPr>
            <w:r>
              <w:t>≥1次</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群众参与人次较上年增长率</w:t>
            </w:r>
          </w:p>
        </w:tc>
        <w:tc>
          <w:tcPr>
            <w:tcW w:w="5386" w:type="dxa"/>
            <w:vAlign w:val="center"/>
          </w:tcPr>
          <w:p>
            <w:pPr>
              <w:pStyle w:val="12"/>
            </w:pPr>
            <w:r>
              <w:t>群众参与人次较上年增长率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全年办公费支出总额</w:t>
            </w:r>
          </w:p>
        </w:tc>
        <w:tc>
          <w:tcPr>
            <w:tcW w:w="2268" w:type="dxa"/>
            <w:vAlign w:val="center"/>
          </w:tcPr>
          <w:p>
            <w:pPr>
              <w:pStyle w:val="12"/>
            </w:pPr>
            <w:r>
              <w:t>3万</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带动其它相关消费项目增收情况</w:t>
            </w:r>
          </w:p>
        </w:tc>
        <w:tc>
          <w:tcPr>
            <w:tcW w:w="5386" w:type="dxa"/>
            <w:vAlign w:val="center"/>
          </w:tcPr>
          <w:p>
            <w:pPr>
              <w:pStyle w:val="12"/>
            </w:pPr>
            <w:r>
              <w:t>带动其它相关消费项目增收情况</w:t>
            </w:r>
          </w:p>
        </w:tc>
        <w:tc>
          <w:tcPr>
            <w:tcW w:w="2268" w:type="dxa"/>
            <w:vAlign w:val="center"/>
          </w:tcPr>
          <w:p>
            <w:pPr>
              <w:pStyle w:val="12"/>
            </w:pPr>
            <w:r>
              <w:t>≥1%</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免费开放文化场馆(站)正常运转</w:t>
            </w:r>
          </w:p>
        </w:tc>
        <w:tc>
          <w:tcPr>
            <w:tcW w:w="5386" w:type="dxa"/>
            <w:vAlign w:val="center"/>
          </w:tcPr>
          <w:p>
            <w:pPr>
              <w:pStyle w:val="12"/>
            </w:pPr>
            <w:r>
              <w:t>免费开放文化场馆(站)正常运转</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满意度指标服务对象满意度指标务的满意度受益群众对免费开放场馆(站)服</w:t>
            </w:r>
          </w:p>
        </w:tc>
        <w:tc>
          <w:tcPr>
            <w:tcW w:w="5386" w:type="dxa"/>
            <w:vAlign w:val="center"/>
          </w:tcPr>
          <w:p>
            <w:pPr>
              <w:pStyle w:val="12"/>
            </w:pPr>
            <w:r>
              <w:t>满意度指标服务对象满意度指标务的满意度受益群众对免费开放场馆(站)服</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12、冀财教〔2025〕131号-提前下达2026年基层三馆一站免费开放运行保障经费（文化站免费开放）绩效目标表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13032226P00217210124A</w:t>
            </w:r>
          </w:p>
        </w:tc>
        <w:tc>
          <w:tcPr>
            <w:tcW w:w="2835" w:type="dxa"/>
            <w:vAlign w:val="center"/>
          </w:tcPr>
          <w:p>
            <w:pPr>
              <w:pStyle w:val="10"/>
            </w:pPr>
            <w:r>
              <w:t>项目名称</w:t>
            </w:r>
          </w:p>
        </w:tc>
        <w:tc>
          <w:tcPr>
            <w:tcW w:w="6095" w:type="dxa"/>
            <w:gridSpan w:val="3"/>
            <w:vAlign w:val="center"/>
          </w:tcPr>
          <w:p>
            <w:pPr>
              <w:pStyle w:val="12"/>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公共图书馆、美术馆、文化馆以及乡镇综合体目标文化站全部免费向社会公众开展基本公共文化服务。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1.公共图书馆、美术馆、文化馆以及乡镇综合体目标文化站全部免费向社会公众开展基本公共文化服务。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群众参与费开放文化场馆(站)组织活动的人次</w:t>
            </w:r>
          </w:p>
        </w:tc>
        <w:tc>
          <w:tcPr>
            <w:tcW w:w="5386" w:type="dxa"/>
            <w:vAlign w:val="center"/>
          </w:tcPr>
          <w:p>
            <w:pPr>
              <w:pStyle w:val="12"/>
            </w:pPr>
            <w:r>
              <w:t>群众参与费开放文化场馆(站)组织活动的人次</w:t>
            </w:r>
          </w:p>
        </w:tc>
        <w:tc>
          <w:tcPr>
            <w:tcW w:w="2268" w:type="dxa"/>
            <w:vAlign w:val="center"/>
          </w:tcPr>
          <w:p>
            <w:pPr>
              <w:pStyle w:val="12"/>
            </w:pPr>
            <w:r>
              <w:t>≥1次</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群众参与人次较上年增长率</w:t>
            </w:r>
          </w:p>
        </w:tc>
        <w:tc>
          <w:tcPr>
            <w:tcW w:w="5386" w:type="dxa"/>
            <w:vAlign w:val="center"/>
          </w:tcPr>
          <w:p>
            <w:pPr>
              <w:pStyle w:val="12"/>
            </w:pPr>
            <w:r>
              <w:t>群众参与人次较上年增长率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全年办公费支出总额</w:t>
            </w:r>
          </w:p>
        </w:tc>
        <w:tc>
          <w:tcPr>
            <w:tcW w:w="2268" w:type="dxa"/>
            <w:vAlign w:val="center"/>
          </w:tcPr>
          <w:p>
            <w:pPr>
              <w:pStyle w:val="12"/>
            </w:pPr>
            <w:r>
              <w:t>0.5万</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带动其它相关消费项目增收情况</w:t>
            </w:r>
          </w:p>
        </w:tc>
        <w:tc>
          <w:tcPr>
            <w:tcW w:w="5386" w:type="dxa"/>
            <w:vAlign w:val="center"/>
          </w:tcPr>
          <w:p>
            <w:pPr>
              <w:pStyle w:val="12"/>
            </w:pPr>
            <w:r>
              <w:t>带动其它相关消费项目增收情况</w:t>
            </w:r>
          </w:p>
        </w:tc>
        <w:tc>
          <w:tcPr>
            <w:tcW w:w="2268" w:type="dxa"/>
            <w:vAlign w:val="center"/>
          </w:tcPr>
          <w:p>
            <w:pPr>
              <w:pStyle w:val="12"/>
            </w:pPr>
            <w:r>
              <w:t>≥1%</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免费开放文化场馆(站)正常运转</w:t>
            </w:r>
          </w:p>
        </w:tc>
        <w:tc>
          <w:tcPr>
            <w:tcW w:w="5386" w:type="dxa"/>
            <w:vAlign w:val="center"/>
          </w:tcPr>
          <w:p>
            <w:pPr>
              <w:pStyle w:val="12"/>
            </w:pPr>
            <w:r>
              <w:t>免费开放文化场馆(站)正常运转</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受益群众对免费开放场馆(站)服务的满意度占比</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13、其他村两委干部基础补贴绩效目标表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13032226P002252104105</w:t>
            </w:r>
          </w:p>
        </w:tc>
        <w:tc>
          <w:tcPr>
            <w:tcW w:w="2835" w:type="dxa"/>
            <w:vAlign w:val="center"/>
          </w:tcPr>
          <w:p>
            <w:pPr>
              <w:pStyle w:val="10"/>
            </w:pPr>
            <w:r>
              <w:t>项目名称</w:t>
            </w:r>
          </w:p>
        </w:tc>
        <w:tc>
          <w:tcPr>
            <w:tcW w:w="6095" w:type="dxa"/>
            <w:gridSpan w:val="3"/>
            <w:vAlign w:val="center"/>
          </w:tcPr>
          <w:p>
            <w:pPr>
              <w:pStyle w:val="12"/>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298.10</w:t>
            </w:r>
          </w:p>
        </w:tc>
        <w:tc>
          <w:tcPr>
            <w:tcW w:w="2835" w:type="dxa"/>
            <w:vAlign w:val="center"/>
          </w:tcPr>
          <w:p>
            <w:pPr>
              <w:pStyle w:val="10"/>
            </w:pPr>
            <w:r>
              <w:t>其中：财政    资金</w:t>
            </w:r>
          </w:p>
        </w:tc>
        <w:tc>
          <w:tcPr>
            <w:tcW w:w="2551" w:type="dxa"/>
            <w:vAlign w:val="center"/>
          </w:tcPr>
          <w:p>
            <w:pPr>
              <w:pStyle w:val="12"/>
            </w:pPr>
            <w:r>
              <w:t>298.10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用于发放2026年其他村两委基础补贴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1.保证其他村两委干部基础补贴，村级组织正常运行。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≥168人</w:t>
            </w:r>
          </w:p>
        </w:tc>
        <w:tc>
          <w:tcPr>
            <w:tcW w:w="1276" w:type="dxa"/>
            <w:vAlign w:val="center"/>
          </w:tcPr>
          <w:p>
            <w:pPr>
              <w:pStyle w:val="12"/>
            </w:pPr>
            <w:r>
              <w:t>实有人数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其他村两委补助标准</w:t>
            </w:r>
          </w:p>
        </w:tc>
        <w:tc>
          <w:tcPr>
            <w:tcW w:w="5386" w:type="dxa"/>
            <w:vAlign w:val="center"/>
          </w:tcPr>
          <w:p>
            <w:pPr>
              <w:pStyle w:val="12"/>
            </w:pPr>
            <w:r>
              <w:t>村干部正职年全年补贴标准</w:t>
            </w:r>
          </w:p>
        </w:tc>
        <w:tc>
          <w:tcPr>
            <w:tcW w:w="2268" w:type="dxa"/>
            <w:vAlign w:val="center"/>
          </w:tcPr>
          <w:p>
            <w:pPr>
              <w:pStyle w:val="12"/>
            </w:pPr>
            <w:r>
              <w:t>12420.84元</w:t>
            </w:r>
          </w:p>
        </w:tc>
        <w:tc>
          <w:tcPr>
            <w:tcW w:w="1276" w:type="dxa"/>
            <w:vAlign w:val="center"/>
          </w:tcPr>
          <w:p>
            <w:pPr>
              <w:pStyle w:val="12"/>
            </w:pPr>
            <w:r>
              <w:t>其他村两委补助标准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全年集体经济收入比上年增长数占上年收入数的比例</w:t>
            </w:r>
          </w:p>
        </w:tc>
        <w:tc>
          <w:tcPr>
            <w:tcW w:w="2268" w:type="dxa"/>
            <w:vAlign w:val="center"/>
          </w:tcPr>
          <w:p>
            <w:pPr>
              <w:pStyle w:val="12"/>
            </w:pPr>
            <w:r>
              <w:t>≥3%</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提高村级行政单位办公能力</w:t>
            </w:r>
          </w:p>
        </w:tc>
        <w:tc>
          <w:tcPr>
            <w:tcW w:w="5386" w:type="dxa"/>
            <w:vAlign w:val="center"/>
          </w:tcPr>
          <w:p>
            <w:pPr>
              <w:pStyle w:val="12"/>
            </w:pPr>
            <w:r>
              <w:t>发放村干部工资补贴，提高村级行政单位办公能力</w:t>
            </w:r>
          </w:p>
        </w:tc>
        <w:tc>
          <w:tcPr>
            <w:tcW w:w="2268" w:type="dxa"/>
            <w:vAlign w:val="center"/>
          </w:tcPr>
          <w:p>
            <w:pPr>
              <w:pStyle w:val="12"/>
            </w:pPr>
            <w:r>
              <w:t>较上年提高</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14、人大代表之家经费绩效目标表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13032226P00230310031L</w:t>
            </w:r>
          </w:p>
        </w:tc>
        <w:tc>
          <w:tcPr>
            <w:tcW w:w="2835" w:type="dxa"/>
            <w:vAlign w:val="center"/>
          </w:tcPr>
          <w:p>
            <w:pPr>
              <w:pStyle w:val="10"/>
            </w:pPr>
            <w:r>
              <w:t>项目名称</w:t>
            </w:r>
          </w:p>
        </w:tc>
        <w:tc>
          <w:tcPr>
            <w:tcW w:w="6095" w:type="dxa"/>
            <w:gridSpan w:val="3"/>
            <w:vAlign w:val="center"/>
          </w:tcPr>
          <w:p>
            <w:pPr>
              <w:pStyle w:val="12"/>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用于2026年人大工作支出。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1.通过项目资金及时支付，达到保证镇、村人大代表工作正常开展的效果。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补助人大代表之家数量</w:t>
            </w:r>
          </w:p>
        </w:tc>
        <w:tc>
          <w:tcPr>
            <w:tcW w:w="5386" w:type="dxa"/>
            <w:vAlign w:val="center"/>
          </w:tcPr>
          <w:p>
            <w:pPr>
              <w:pStyle w:val="12"/>
            </w:pPr>
            <w:r>
              <w:t>享受补助的人大代表之家个数</w:t>
            </w:r>
          </w:p>
        </w:tc>
        <w:tc>
          <w:tcPr>
            <w:tcW w:w="2268" w:type="dxa"/>
            <w:vAlign w:val="center"/>
          </w:tcPr>
          <w:p>
            <w:pPr>
              <w:pStyle w:val="12"/>
            </w:pPr>
            <w:r>
              <w:t>1个</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人大代表履职率</w:t>
            </w:r>
          </w:p>
        </w:tc>
        <w:tc>
          <w:tcPr>
            <w:tcW w:w="5386" w:type="dxa"/>
            <w:vAlign w:val="center"/>
          </w:tcPr>
          <w:p>
            <w:pPr>
              <w:pStyle w:val="12"/>
            </w:pPr>
            <w:r>
              <w:t>正常履职人大代表职能人数占区域内人大代表总数的比例</w:t>
            </w:r>
          </w:p>
        </w:tc>
        <w:tc>
          <w:tcPr>
            <w:tcW w:w="2268" w:type="dxa"/>
            <w:vAlign w:val="center"/>
          </w:tcPr>
          <w:p>
            <w:pPr>
              <w:pStyle w:val="12"/>
            </w:pPr>
            <w:r>
              <w:t>≥90%</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人大经费支付及时率</w:t>
            </w:r>
          </w:p>
        </w:tc>
        <w:tc>
          <w:tcPr>
            <w:tcW w:w="5386" w:type="dxa"/>
            <w:vAlign w:val="center"/>
          </w:tcPr>
          <w:p>
            <w:pPr>
              <w:pStyle w:val="12"/>
            </w:pPr>
            <w:r>
              <w:t>及时支付人大经费金额占实际到位金额的比例</w:t>
            </w:r>
          </w:p>
        </w:tc>
        <w:tc>
          <w:tcPr>
            <w:tcW w:w="2268" w:type="dxa"/>
            <w:vAlign w:val="center"/>
          </w:tcPr>
          <w:p>
            <w:pPr>
              <w:pStyle w:val="12"/>
            </w:pPr>
            <w:r>
              <w:t>≥90%</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人大代表之家成本</w:t>
            </w:r>
          </w:p>
        </w:tc>
        <w:tc>
          <w:tcPr>
            <w:tcW w:w="5386" w:type="dxa"/>
            <w:vAlign w:val="center"/>
          </w:tcPr>
          <w:p>
            <w:pPr>
              <w:pStyle w:val="12"/>
            </w:pPr>
            <w:r>
              <w:t>人大代表之家项目资金全年补助标准</w:t>
            </w:r>
          </w:p>
        </w:tc>
        <w:tc>
          <w:tcPr>
            <w:tcW w:w="2268" w:type="dxa"/>
            <w:vAlign w:val="center"/>
          </w:tcPr>
          <w:p>
            <w:pPr>
              <w:pStyle w:val="12"/>
            </w:pPr>
            <w:r>
              <w:t>2万</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提高经济发展</w:t>
            </w:r>
          </w:p>
        </w:tc>
        <w:tc>
          <w:tcPr>
            <w:tcW w:w="5386" w:type="dxa"/>
            <w:vAlign w:val="center"/>
          </w:tcPr>
          <w:p>
            <w:pPr>
              <w:pStyle w:val="12"/>
            </w:pPr>
            <w:r>
              <w:t>通过人大经费的支出提高区域内财政资金使用效力</w:t>
            </w:r>
          </w:p>
        </w:tc>
        <w:tc>
          <w:tcPr>
            <w:tcW w:w="2268" w:type="dxa"/>
            <w:vAlign w:val="center"/>
          </w:tcPr>
          <w:p>
            <w:pPr>
              <w:pStyle w:val="12"/>
            </w:pPr>
            <w:r>
              <w:t>≥2%</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保障人大代表履职能力</w:t>
            </w:r>
          </w:p>
        </w:tc>
        <w:tc>
          <w:tcPr>
            <w:tcW w:w="5386" w:type="dxa"/>
            <w:vAlign w:val="center"/>
          </w:tcPr>
          <w:p>
            <w:pPr>
              <w:pStyle w:val="12"/>
            </w:pPr>
            <w:r>
              <w:t>保障区域内人大代表履职能力人数</w:t>
            </w:r>
          </w:p>
        </w:tc>
        <w:tc>
          <w:tcPr>
            <w:tcW w:w="2268" w:type="dxa"/>
            <w:vAlign w:val="center"/>
          </w:tcPr>
          <w:p>
            <w:pPr>
              <w:pStyle w:val="12"/>
            </w:pPr>
            <w:r>
              <w:t>较上年提高</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办公期间节约能源，水电等能源能源节约情况</w:t>
            </w:r>
          </w:p>
        </w:tc>
        <w:tc>
          <w:tcPr>
            <w:tcW w:w="2268" w:type="dxa"/>
            <w:vAlign w:val="center"/>
          </w:tcPr>
          <w:p>
            <w:pPr>
              <w:pStyle w:val="12"/>
            </w:pPr>
            <w:r>
              <w:t>较上年节约</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人大工作的可持续影响</w:t>
            </w:r>
          </w:p>
        </w:tc>
        <w:tc>
          <w:tcPr>
            <w:tcW w:w="5386" w:type="dxa"/>
            <w:vAlign w:val="center"/>
          </w:tcPr>
          <w:p>
            <w:pPr>
              <w:pStyle w:val="12"/>
            </w:pPr>
            <w:r>
              <w:t>人大工作经费的支出，保障区域内人大工作正常运转的时限</w:t>
            </w:r>
          </w:p>
        </w:tc>
        <w:tc>
          <w:tcPr>
            <w:tcW w:w="2268" w:type="dxa"/>
            <w:vAlign w:val="center"/>
          </w:tcPr>
          <w:p>
            <w:pPr>
              <w:pStyle w:val="12"/>
            </w:pPr>
            <w:r>
              <w:t>1年</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调查中满意或较满意的人大代表占被调查人大代表的比例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13032226P002123100352</w:t>
            </w:r>
          </w:p>
        </w:tc>
        <w:tc>
          <w:tcPr>
            <w:tcW w:w="2835" w:type="dxa"/>
            <w:vAlign w:val="center"/>
          </w:tcPr>
          <w:p>
            <w:pPr>
              <w:pStyle w:val="10"/>
            </w:pPr>
            <w:r>
              <w:t>项目名称</w:t>
            </w:r>
          </w:p>
        </w:tc>
        <w:tc>
          <w:tcPr>
            <w:tcW w:w="6095" w:type="dxa"/>
            <w:gridSpan w:val="3"/>
            <w:vAlign w:val="center"/>
          </w:tcPr>
          <w:p>
            <w:pPr>
              <w:pStyle w:val="12"/>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用于2026年武装工作支出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1.通过项目资金及时支付，达到保证镇武装工作、民兵训练工作顺利进行的效果。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组织开展武装宣传次数</w:t>
            </w:r>
          </w:p>
        </w:tc>
        <w:tc>
          <w:tcPr>
            <w:tcW w:w="5386" w:type="dxa"/>
            <w:vAlign w:val="center"/>
          </w:tcPr>
          <w:p>
            <w:pPr>
              <w:pStyle w:val="12"/>
            </w:pPr>
            <w:r>
              <w:t>组织开展辖区内武装宣传工作的次数</w:t>
            </w:r>
          </w:p>
        </w:tc>
        <w:tc>
          <w:tcPr>
            <w:tcW w:w="2268" w:type="dxa"/>
            <w:vAlign w:val="center"/>
          </w:tcPr>
          <w:p>
            <w:pPr>
              <w:pStyle w:val="12"/>
            </w:pPr>
            <w:r>
              <w:t>≥1次</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已开展武装宣传工作村数占应开展武装宣传工作村数的比例</w:t>
            </w:r>
          </w:p>
        </w:tc>
        <w:tc>
          <w:tcPr>
            <w:tcW w:w="2268" w:type="dxa"/>
            <w:vAlign w:val="center"/>
          </w:tcPr>
          <w:p>
            <w:pPr>
              <w:pStyle w:val="12"/>
            </w:pPr>
            <w:r>
              <w:t>≥90%</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武装工作经费支付及时率</w:t>
            </w:r>
          </w:p>
        </w:tc>
        <w:tc>
          <w:tcPr>
            <w:tcW w:w="5386" w:type="dxa"/>
            <w:vAlign w:val="center"/>
          </w:tcPr>
          <w:p>
            <w:pPr>
              <w:pStyle w:val="12"/>
            </w:pPr>
            <w:r>
              <w:t>按时限要求支付武装经费的金额占实际到位武装经费的比例</w:t>
            </w:r>
          </w:p>
        </w:tc>
        <w:tc>
          <w:tcPr>
            <w:tcW w:w="2268" w:type="dxa"/>
            <w:vAlign w:val="center"/>
          </w:tcPr>
          <w:p>
            <w:pPr>
              <w:pStyle w:val="12"/>
            </w:pPr>
            <w:r>
              <w:t>≥90%</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开展武装宣传费用成本</w:t>
            </w:r>
          </w:p>
        </w:tc>
        <w:tc>
          <w:tcPr>
            <w:tcW w:w="5386" w:type="dxa"/>
            <w:vAlign w:val="center"/>
          </w:tcPr>
          <w:p>
            <w:pPr>
              <w:pStyle w:val="12"/>
            </w:pPr>
            <w:r>
              <w:t>武装宣传的费用标准</w:t>
            </w:r>
          </w:p>
        </w:tc>
        <w:tc>
          <w:tcPr>
            <w:tcW w:w="2268" w:type="dxa"/>
            <w:vAlign w:val="center"/>
          </w:tcPr>
          <w:p>
            <w:pPr>
              <w:pStyle w:val="12"/>
            </w:pPr>
            <w:r>
              <w:t>2万元</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提高区域内武装工作收入</w:t>
            </w:r>
          </w:p>
        </w:tc>
        <w:tc>
          <w:tcPr>
            <w:tcW w:w="5386" w:type="dxa"/>
            <w:vAlign w:val="center"/>
          </w:tcPr>
          <w:p>
            <w:pPr>
              <w:pStyle w:val="12"/>
            </w:pPr>
            <w:r>
              <w:t>提高我镇武装工作收入</w:t>
            </w:r>
          </w:p>
        </w:tc>
        <w:tc>
          <w:tcPr>
            <w:tcW w:w="2268" w:type="dxa"/>
            <w:vAlign w:val="center"/>
          </w:tcPr>
          <w:p>
            <w:pPr>
              <w:pStyle w:val="12"/>
            </w:pPr>
            <w:r>
              <w:t>≥2%</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提升民兵人员提升社会责任感</w:t>
            </w:r>
          </w:p>
        </w:tc>
        <w:tc>
          <w:tcPr>
            <w:tcW w:w="5386" w:type="dxa"/>
            <w:vAlign w:val="center"/>
          </w:tcPr>
          <w:p>
            <w:pPr>
              <w:pStyle w:val="12"/>
            </w:pPr>
            <w:r>
              <w:t>提升民兵人员提升社会责任感人数</w:t>
            </w:r>
          </w:p>
        </w:tc>
        <w:tc>
          <w:tcPr>
            <w:tcW w:w="2268" w:type="dxa"/>
            <w:vAlign w:val="center"/>
          </w:tcPr>
          <w:p>
            <w:pPr>
              <w:pStyle w:val="12"/>
            </w:pPr>
            <w:r>
              <w:t>≥42人</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办公期间能源，水电等能源节约情况</w:t>
            </w:r>
          </w:p>
        </w:tc>
        <w:tc>
          <w:tcPr>
            <w:tcW w:w="2268" w:type="dxa"/>
            <w:vAlign w:val="center"/>
          </w:tcPr>
          <w:p>
            <w:pPr>
              <w:pStyle w:val="12"/>
            </w:pPr>
            <w:r>
              <w:t>较上年节约</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武装工作经费的可持续影响</w:t>
            </w:r>
          </w:p>
        </w:tc>
        <w:tc>
          <w:tcPr>
            <w:tcW w:w="5386" w:type="dxa"/>
            <w:vAlign w:val="center"/>
          </w:tcPr>
          <w:p>
            <w:pPr>
              <w:pStyle w:val="12"/>
            </w:pPr>
            <w:r>
              <w:t>武装工作经费的支出，保障区域内武装工作正常运转的时限</w:t>
            </w:r>
          </w:p>
        </w:tc>
        <w:tc>
          <w:tcPr>
            <w:tcW w:w="2268" w:type="dxa"/>
            <w:vAlign w:val="center"/>
          </w:tcPr>
          <w:p>
            <w:pPr>
              <w:pStyle w:val="12"/>
            </w:pPr>
            <w:r>
              <w:t>1年</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调查中满意或较满意的民兵占被调查总人数的比例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13032226P00212610091U</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24.87</w:t>
            </w:r>
          </w:p>
        </w:tc>
        <w:tc>
          <w:tcPr>
            <w:tcW w:w="2835" w:type="dxa"/>
            <w:vAlign w:val="center"/>
          </w:tcPr>
          <w:p>
            <w:pPr>
              <w:pStyle w:val="10"/>
            </w:pPr>
            <w:r>
              <w:t>其中：财政    资金</w:t>
            </w:r>
          </w:p>
        </w:tc>
        <w:tc>
          <w:tcPr>
            <w:tcW w:w="2551" w:type="dxa"/>
            <w:vAlign w:val="center"/>
          </w:tcPr>
          <w:p>
            <w:pPr>
              <w:pStyle w:val="12"/>
            </w:pPr>
            <w:r>
              <w:t>24.87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信访维稳支出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1.通过加强信访类案件的调解、处置工作，达到有效化解信访矛盾，维护社会稳定的效果。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完成信访维稳人次数</w:t>
            </w:r>
          </w:p>
        </w:tc>
        <w:tc>
          <w:tcPr>
            <w:tcW w:w="5386" w:type="dxa"/>
            <w:vAlign w:val="center"/>
          </w:tcPr>
          <w:p>
            <w:pPr>
              <w:pStyle w:val="12"/>
            </w:pPr>
            <w:r>
              <w:t>平均每月完成信访维稳的人次数</w:t>
            </w:r>
          </w:p>
        </w:tc>
        <w:tc>
          <w:tcPr>
            <w:tcW w:w="2268" w:type="dxa"/>
            <w:vAlign w:val="center"/>
          </w:tcPr>
          <w:p>
            <w:pPr>
              <w:pStyle w:val="12"/>
            </w:pPr>
            <w:r>
              <w:t>≤5人</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化解信访矛盾率</w:t>
            </w:r>
          </w:p>
        </w:tc>
        <w:tc>
          <w:tcPr>
            <w:tcW w:w="5386" w:type="dxa"/>
            <w:vAlign w:val="center"/>
          </w:tcPr>
          <w:p>
            <w:pPr>
              <w:pStyle w:val="12"/>
            </w:pPr>
            <w:r>
              <w:t>解决信访矛盾次数占全部实际发生信访次数的比率</w:t>
            </w:r>
          </w:p>
        </w:tc>
        <w:tc>
          <w:tcPr>
            <w:tcW w:w="2268" w:type="dxa"/>
            <w:vAlign w:val="center"/>
          </w:tcPr>
          <w:p>
            <w:pPr>
              <w:pStyle w:val="12"/>
            </w:pPr>
            <w:r>
              <w:t>≥70%</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信访案件接手处理时限</w:t>
            </w:r>
          </w:p>
        </w:tc>
        <w:tc>
          <w:tcPr>
            <w:tcW w:w="5386" w:type="dxa"/>
            <w:vAlign w:val="center"/>
          </w:tcPr>
          <w:p>
            <w:pPr>
              <w:pStyle w:val="12"/>
            </w:pPr>
            <w:r>
              <w:t>信访案件发生后信访工作人员接手处理的时间</w:t>
            </w:r>
          </w:p>
        </w:tc>
        <w:tc>
          <w:tcPr>
            <w:tcW w:w="2268" w:type="dxa"/>
            <w:vAlign w:val="center"/>
          </w:tcPr>
          <w:p>
            <w:pPr>
              <w:pStyle w:val="12"/>
            </w:pPr>
            <w:r>
              <w:t>≤2天</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化解信访案件等经费成本</w:t>
            </w:r>
          </w:p>
        </w:tc>
        <w:tc>
          <w:tcPr>
            <w:tcW w:w="5386" w:type="dxa"/>
            <w:vAlign w:val="center"/>
          </w:tcPr>
          <w:p>
            <w:pPr>
              <w:pStyle w:val="12"/>
            </w:pPr>
            <w:r>
              <w:t>化解信访案件及维稳人员差旅费等经费成本</w:t>
            </w:r>
          </w:p>
        </w:tc>
        <w:tc>
          <w:tcPr>
            <w:tcW w:w="2268" w:type="dxa"/>
            <w:vAlign w:val="center"/>
          </w:tcPr>
          <w:p>
            <w:pPr>
              <w:pStyle w:val="12"/>
            </w:pPr>
            <w:r>
              <w:t>≤24.8万元</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促进经济形势稳定发展</w:t>
            </w:r>
          </w:p>
        </w:tc>
        <w:tc>
          <w:tcPr>
            <w:tcW w:w="5386" w:type="dxa"/>
            <w:vAlign w:val="center"/>
          </w:tcPr>
          <w:p>
            <w:pPr>
              <w:pStyle w:val="12"/>
            </w:pPr>
            <w:r>
              <w:t>维护社会稳定，促进经济形势稳定</w:t>
            </w:r>
          </w:p>
        </w:tc>
        <w:tc>
          <w:tcPr>
            <w:tcW w:w="2268" w:type="dxa"/>
            <w:vAlign w:val="center"/>
          </w:tcPr>
          <w:p>
            <w:pPr>
              <w:pStyle w:val="12"/>
            </w:pPr>
            <w:r>
              <w:t>较上年提高</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及时处理矛盾纠纷，维护社会稳定</w:t>
            </w:r>
          </w:p>
        </w:tc>
        <w:tc>
          <w:tcPr>
            <w:tcW w:w="2268" w:type="dxa"/>
            <w:vAlign w:val="center"/>
          </w:tcPr>
          <w:p>
            <w:pPr>
              <w:pStyle w:val="12"/>
            </w:pPr>
            <w:r>
              <w:t>较上年提高</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办公期间节约水电等能源，降低能耗</w:t>
            </w:r>
          </w:p>
        </w:tc>
        <w:tc>
          <w:tcPr>
            <w:tcW w:w="2268" w:type="dxa"/>
            <w:vAlign w:val="center"/>
          </w:tcPr>
          <w:p>
            <w:pPr>
              <w:pStyle w:val="12"/>
            </w:pPr>
            <w:r>
              <w:t>较上年降低</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对信访维稳工作产生影响的持续性</w:t>
            </w:r>
          </w:p>
        </w:tc>
        <w:tc>
          <w:tcPr>
            <w:tcW w:w="5386" w:type="dxa"/>
            <w:vAlign w:val="center"/>
          </w:tcPr>
          <w:p>
            <w:pPr>
              <w:pStyle w:val="12"/>
            </w:pPr>
            <w:r>
              <w:t>对区域内信访维稳工作产生影响的时限</w:t>
            </w:r>
          </w:p>
        </w:tc>
        <w:tc>
          <w:tcPr>
            <w:tcW w:w="2268" w:type="dxa"/>
            <w:vAlign w:val="center"/>
          </w:tcPr>
          <w:p>
            <w:pPr>
              <w:pStyle w:val="12"/>
            </w:pPr>
            <w:r>
              <w:t>1年</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调查中满意或较满意的信访群众占被调查群众的比率</w:t>
            </w:r>
          </w:p>
        </w:tc>
        <w:tc>
          <w:tcPr>
            <w:tcW w:w="2268" w:type="dxa"/>
            <w:vAlign w:val="center"/>
          </w:tcPr>
          <w:p>
            <w:pPr>
              <w:pStyle w:val="12"/>
            </w:pPr>
            <w:r>
              <w:t>≥90%</w:t>
            </w:r>
          </w:p>
        </w:tc>
        <w:tc>
          <w:tcPr>
            <w:tcW w:w="1276" w:type="dxa"/>
            <w:vAlign w:val="center"/>
          </w:tcPr>
          <w:p>
            <w:pPr>
              <w:pStyle w:val="12"/>
            </w:pPr>
            <w:r>
              <w:t>信访工作目标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13032226P002252102940</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30.31</w:t>
            </w:r>
          </w:p>
        </w:tc>
        <w:tc>
          <w:tcPr>
            <w:tcW w:w="2835" w:type="dxa"/>
            <w:vAlign w:val="center"/>
          </w:tcPr>
          <w:p>
            <w:pPr>
              <w:pStyle w:val="10"/>
            </w:pPr>
            <w:r>
              <w:t>其中：财政    资金</w:t>
            </w:r>
          </w:p>
        </w:tc>
        <w:tc>
          <w:tcPr>
            <w:tcW w:w="2551" w:type="dxa"/>
            <w:vAlign w:val="center"/>
          </w:tcPr>
          <w:p>
            <w:pPr>
              <w:pStyle w:val="12"/>
            </w:pPr>
            <w:r>
              <w:t>30.31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用于支付2026年离任村干部补贴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1.通过发放离任村干部生活补助，提高离任村干部的生活水平。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正常离任村干部人数</w:t>
            </w:r>
          </w:p>
        </w:tc>
        <w:tc>
          <w:tcPr>
            <w:tcW w:w="5386" w:type="dxa"/>
            <w:vAlign w:val="center"/>
          </w:tcPr>
          <w:p>
            <w:pPr>
              <w:pStyle w:val="12"/>
            </w:pPr>
            <w:r>
              <w:t>享受补助的正常离任村干部的人数</w:t>
            </w:r>
          </w:p>
        </w:tc>
        <w:tc>
          <w:tcPr>
            <w:tcW w:w="2268" w:type="dxa"/>
            <w:vAlign w:val="center"/>
          </w:tcPr>
          <w:p>
            <w:pPr>
              <w:pStyle w:val="12"/>
            </w:pPr>
            <w:r>
              <w:t>≤115人</w:t>
            </w:r>
          </w:p>
        </w:tc>
        <w:tc>
          <w:tcPr>
            <w:tcW w:w="1276" w:type="dxa"/>
            <w:vAlign w:val="center"/>
          </w:tcPr>
          <w:p>
            <w:pPr>
              <w:pStyle w:val="12"/>
            </w:pPr>
            <w:r>
              <w:t>实有人数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经费补助发放率</w:t>
            </w:r>
          </w:p>
        </w:tc>
        <w:tc>
          <w:tcPr>
            <w:tcW w:w="5386" w:type="dxa"/>
            <w:vAlign w:val="center"/>
          </w:tcPr>
          <w:p>
            <w:pPr>
              <w:pStyle w:val="12"/>
            </w:pPr>
            <w:r>
              <w:t>发放离任村干部补助数占离任村干部生活补助总数的比率</w:t>
            </w:r>
          </w:p>
        </w:tc>
        <w:tc>
          <w:tcPr>
            <w:tcW w:w="2268" w:type="dxa"/>
            <w:vAlign w:val="center"/>
          </w:tcPr>
          <w:p>
            <w:pPr>
              <w:pStyle w:val="12"/>
            </w:pPr>
            <w:r>
              <w:t>≥95%</w:t>
            </w:r>
          </w:p>
        </w:tc>
        <w:tc>
          <w:tcPr>
            <w:tcW w:w="1276" w:type="dxa"/>
            <w:vAlign w:val="center"/>
          </w:tcPr>
          <w:p>
            <w:pPr>
              <w:pStyle w:val="12"/>
            </w:pPr>
            <w:r>
              <w:t>工作目标计划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补助发放及时率</w:t>
            </w:r>
          </w:p>
        </w:tc>
        <w:tc>
          <w:tcPr>
            <w:tcW w:w="5386" w:type="dxa"/>
            <w:vAlign w:val="center"/>
          </w:tcPr>
          <w:p>
            <w:pPr>
              <w:pStyle w:val="12"/>
            </w:pPr>
            <w:r>
              <w:t>正常离任村干部补贴发放金额占实际到位资金的比例的比例</w:t>
            </w:r>
          </w:p>
        </w:tc>
        <w:tc>
          <w:tcPr>
            <w:tcW w:w="2268" w:type="dxa"/>
            <w:vAlign w:val="center"/>
          </w:tcPr>
          <w:p>
            <w:pPr>
              <w:pStyle w:val="12"/>
            </w:pPr>
            <w:r>
              <w:t>≥95%</w:t>
            </w:r>
          </w:p>
        </w:tc>
        <w:tc>
          <w:tcPr>
            <w:tcW w:w="1276" w:type="dxa"/>
            <w:vAlign w:val="center"/>
          </w:tcPr>
          <w:p>
            <w:pPr>
              <w:pStyle w:val="12"/>
            </w:pPr>
            <w:r>
              <w:t>工作目标计划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离任村干部每年的工龄补助标准</w:t>
            </w:r>
          </w:p>
        </w:tc>
        <w:tc>
          <w:tcPr>
            <w:tcW w:w="2268" w:type="dxa"/>
            <w:vAlign w:val="center"/>
          </w:tcPr>
          <w:p>
            <w:pPr>
              <w:pStyle w:val="12"/>
            </w:pPr>
            <w:r>
              <w:t>240元</w:t>
            </w:r>
          </w:p>
        </w:tc>
        <w:tc>
          <w:tcPr>
            <w:tcW w:w="1276" w:type="dxa"/>
            <w:vAlign w:val="center"/>
          </w:tcPr>
          <w:p>
            <w:pPr>
              <w:pStyle w:val="12"/>
            </w:pPr>
            <w:r>
              <w:t>补助政策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提高行政村内正常离任村干部收入</w:t>
            </w:r>
          </w:p>
        </w:tc>
        <w:tc>
          <w:tcPr>
            <w:tcW w:w="5386" w:type="dxa"/>
            <w:vAlign w:val="center"/>
          </w:tcPr>
          <w:p>
            <w:pPr>
              <w:pStyle w:val="12"/>
            </w:pPr>
            <w:r>
              <w:t>全年离任村干部人均收入增加额</w:t>
            </w:r>
          </w:p>
        </w:tc>
        <w:tc>
          <w:tcPr>
            <w:tcW w:w="2268" w:type="dxa"/>
            <w:vAlign w:val="center"/>
          </w:tcPr>
          <w:p>
            <w:pPr>
              <w:pStyle w:val="12"/>
            </w:pPr>
            <w:r>
              <w:t>≥3%</w:t>
            </w:r>
          </w:p>
        </w:tc>
        <w:tc>
          <w:tcPr>
            <w:tcW w:w="1276" w:type="dxa"/>
            <w:vAlign w:val="center"/>
          </w:tcPr>
          <w:p>
            <w:pPr>
              <w:pStyle w:val="12"/>
            </w:pPr>
            <w:r>
              <w:t>工作目标计划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提高在任村干部干事创业的积极性</w:t>
            </w:r>
          </w:p>
        </w:tc>
        <w:tc>
          <w:tcPr>
            <w:tcW w:w="5386" w:type="dxa"/>
            <w:vAlign w:val="center"/>
          </w:tcPr>
          <w:p>
            <w:pPr>
              <w:pStyle w:val="12"/>
            </w:pPr>
            <w:r>
              <w:t>提高在任村干部干事创业的积极性，促进行政村稳定</w:t>
            </w:r>
          </w:p>
        </w:tc>
        <w:tc>
          <w:tcPr>
            <w:tcW w:w="2268" w:type="dxa"/>
            <w:vAlign w:val="center"/>
          </w:tcPr>
          <w:p>
            <w:pPr>
              <w:pStyle w:val="12"/>
            </w:pPr>
            <w:r>
              <w:t>较上年提高</w:t>
            </w:r>
          </w:p>
        </w:tc>
        <w:tc>
          <w:tcPr>
            <w:tcW w:w="1276" w:type="dxa"/>
            <w:vAlign w:val="center"/>
          </w:tcPr>
          <w:p>
            <w:pPr>
              <w:pStyle w:val="12"/>
            </w:pPr>
            <w:r>
              <w:t>工作目标计划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离任村干部补助的可持续影响</w:t>
            </w:r>
          </w:p>
        </w:tc>
        <w:tc>
          <w:tcPr>
            <w:tcW w:w="5386" w:type="dxa"/>
            <w:vAlign w:val="center"/>
          </w:tcPr>
          <w:p>
            <w:pPr>
              <w:pStyle w:val="12"/>
            </w:pPr>
            <w:r>
              <w:t>离任村干部补助发放，保障村委会稳定发展时限</w:t>
            </w:r>
          </w:p>
        </w:tc>
        <w:tc>
          <w:tcPr>
            <w:tcW w:w="2268" w:type="dxa"/>
            <w:vAlign w:val="center"/>
          </w:tcPr>
          <w:p>
            <w:pPr>
              <w:pStyle w:val="12"/>
            </w:pPr>
            <w:r>
              <w:t>1年</w:t>
            </w:r>
          </w:p>
        </w:tc>
        <w:tc>
          <w:tcPr>
            <w:tcW w:w="1276" w:type="dxa"/>
            <w:vAlign w:val="center"/>
          </w:tcPr>
          <w:p>
            <w:pPr>
              <w:pStyle w:val="12"/>
            </w:pPr>
            <w:r>
              <w:t>工作目标计划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正常离任村干部满意度</w:t>
            </w:r>
          </w:p>
        </w:tc>
        <w:tc>
          <w:tcPr>
            <w:tcW w:w="5386" w:type="dxa"/>
            <w:vAlign w:val="center"/>
          </w:tcPr>
          <w:p>
            <w:pPr>
              <w:pStyle w:val="12"/>
            </w:pPr>
            <w:r>
              <w:t>调查中满意或较满意的正常离任村干部占被调查正常离任村干部的比率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819001昌黎县新集镇人民政府本级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昌黎县新集镇人民政府本级上年末固定资产金额为322.04万元（详见下表）。本年度拟购置固定资产总额为0.00万元，已按要求列入政府采购预算，详见政府采购预算表。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9"/>
            </w:pPr>
            <w:r>
              <w:t>819001昌黎县新集镇人民政府本级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322.04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3127.96</w:t>
            </w:r>
          </w:p>
        </w:tc>
        <w:tc>
          <w:tcPr>
            <w:tcW w:w="2835" w:type="dxa"/>
            <w:vAlign w:val="center"/>
          </w:tcPr>
          <w:p>
            <w:pPr>
              <w:pStyle w:val="11"/>
            </w:pPr>
            <w:r>
              <w:t>172.56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1440</w:t>
            </w:r>
          </w:p>
        </w:tc>
        <w:tc>
          <w:tcPr>
            <w:tcW w:w="2835" w:type="dxa"/>
            <w:vAlign w:val="center"/>
          </w:tcPr>
          <w:p>
            <w:pPr>
              <w:pStyle w:val="11"/>
            </w:pPr>
            <w:r>
              <w:t>120.31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17.45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588</w:t>
            </w:r>
          </w:p>
        </w:tc>
        <w:tc>
          <w:tcPr>
            <w:tcW w:w="2835" w:type="dxa"/>
            <w:vAlign w:val="center"/>
          </w:tcPr>
          <w:p>
            <w:pPr>
              <w:pStyle w:val="11"/>
            </w:pPr>
            <w:r>
              <w:t>132.03</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D7060D"/>
    <w:rsid w:val="00006B9A"/>
    <w:rsid w:val="0062216C"/>
    <w:rsid w:val="00D7060D"/>
    <w:rsid w:val="263A1928"/>
    <w:rsid w:val="43AB2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sz w:val="18"/>
      <w:szCs w:val="18"/>
      <w:lang w:eastAsia="uk-UA"/>
    </w:rPr>
  </w:style>
  <w:style w:type="character" w:customStyle="1" w:styleId="25">
    <w:name w:val="页脚 Char"/>
    <w:basedOn w:val="6"/>
    <w:link w:val="2"/>
    <w:semiHidden/>
    <w:qFormat/>
    <w:uiPriority w:val="99"/>
    <w:rPr>
      <w:sz w:val="18"/>
      <w:szCs w:val="18"/>
      <w:lang w:eastAsia="uk-UA"/>
    </w:rPr>
  </w:style>
  <w:style w:type="paragraph" w:customStyle="1" w:styleId="26">
    <w:name w:val="插入文本样式-插入预算公开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电脑、安防、网络工程</Company>
  <Pages>44</Pages>
  <Words>3428</Words>
  <Characters>19544</Characters>
  <Lines>162</Lines>
  <Paragraphs>45</Paragraphs>
  <TotalTime>1</TotalTime>
  <ScaleCrop>false</ScaleCrop>
  <LinksUpToDate>false</LinksUpToDate>
  <CharactersWithSpaces>22927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2026-01-30T12:26:00Z</dcterms:created>
  <dc:creator>Administrator</dc:creator>
  <cp:lastModifiedBy>Administrator</cp:lastModifiedBy>
  <dcterms:modified xsi:type="dcterms:W3CDTF">2026-02-06T07:10:34Z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D21C629CE939480EBDF10210B20CB7F5</vt:lpwstr>
  </property>
</Properties>
</file>