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501昌黎县信访局</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234.73</w:t>
            </w:r>
          </w:p>
        </w:tc>
        <w:tc>
          <w:tcPr>
            <w:tcW w:w="4535" w:type="dxa"/>
            <w:vAlign w:val="center"/>
          </w:tcPr>
          <w:p>
            <w:pPr>
              <w:pStyle w:val="15"/>
            </w:pPr>
            <w:r>
              <w:t>一、一般公共服务支出</w:t>
            </w:r>
          </w:p>
        </w:tc>
        <w:tc>
          <w:tcPr>
            <w:tcW w:w="2126" w:type="dxa"/>
            <w:vAlign w:val="center"/>
          </w:tcPr>
          <w:p>
            <w:pPr>
              <w:pStyle w:val="14"/>
            </w:pPr>
            <w:r>
              <w:t>199.65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17.61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234.73</w:t>
            </w:r>
          </w:p>
        </w:tc>
        <w:tc>
          <w:tcPr>
            <w:tcW w:w="4535" w:type="dxa"/>
            <w:vAlign w:val="center"/>
          </w:tcPr>
          <w:p>
            <w:pPr>
              <w:pStyle w:val="17"/>
            </w:pPr>
            <w:r>
              <w:t>本年支出合计</w:t>
            </w:r>
          </w:p>
        </w:tc>
        <w:tc>
          <w:tcPr>
            <w:tcW w:w="2126" w:type="dxa"/>
            <w:vAlign w:val="center"/>
          </w:tcPr>
          <w:p>
            <w:pPr>
              <w:pStyle w:val="18"/>
            </w:pPr>
            <w:r>
              <w:t>234.73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234.73</w:t>
            </w:r>
          </w:p>
        </w:tc>
        <w:tc>
          <w:tcPr>
            <w:tcW w:w="4535" w:type="dxa"/>
            <w:vAlign w:val="center"/>
          </w:tcPr>
          <w:p>
            <w:pPr>
              <w:pStyle w:val="17"/>
            </w:pPr>
            <w:r>
              <w:t>支出总计</w:t>
            </w:r>
          </w:p>
        </w:tc>
        <w:tc>
          <w:tcPr>
            <w:tcW w:w="2126" w:type="dxa"/>
            <w:vAlign w:val="center"/>
          </w:tcPr>
          <w:p>
            <w:pPr>
              <w:pStyle w:val="18"/>
            </w:pPr>
            <w:r>
              <w:t>234.73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501昌黎县信访局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234.73</w:t>
            </w:r>
          </w:p>
        </w:tc>
        <w:tc>
          <w:tcPr>
            <w:tcW w:w="1134" w:type="dxa"/>
            <w:vAlign w:val="center"/>
          </w:tcPr>
          <w:p>
            <w:pPr>
              <w:pStyle w:val="18"/>
            </w:pPr>
            <w:r>
              <w:t>234.73</w:t>
            </w:r>
          </w:p>
        </w:tc>
        <w:tc>
          <w:tcPr>
            <w:tcW w:w="1134" w:type="dxa"/>
            <w:vAlign w:val="center"/>
          </w:tcPr>
          <w:p>
            <w:pPr>
              <w:pStyle w:val="18"/>
            </w:pPr>
            <w:r>
              <w:t>234.73</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199.65</w:t>
            </w:r>
          </w:p>
        </w:tc>
        <w:tc>
          <w:tcPr>
            <w:tcW w:w="1134" w:type="dxa"/>
            <w:vAlign w:val="center"/>
          </w:tcPr>
          <w:p>
            <w:pPr>
              <w:pStyle w:val="14"/>
            </w:pPr>
            <w:r>
              <w:t>199.65</w:t>
            </w:r>
          </w:p>
        </w:tc>
        <w:tc>
          <w:tcPr>
            <w:tcW w:w="1134" w:type="dxa"/>
            <w:vAlign w:val="center"/>
          </w:tcPr>
          <w:p>
            <w:pPr>
              <w:pStyle w:val="14"/>
            </w:pPr>
            <w:r>
              <w:t>199.65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20140</w:t>
            </w:r>
          </w:p>
        </w:tc>
        <w:tc>
          <w:tcPr>
            <w:tcW w:w="1559" w:type="dxa"/>
            <w:vAlign w:val="center"/>
          </w:tcPr>
          <w:p>
            <w:pPr>
              <w:pStyle w:val="15"/>
            </w:pPr>
            <w:r>
              <w:t>信访事务</w:t>
            </w:r>
          </w:p>
        </w:tc>
        <w:tc>
          <w:tcPr>
            <w:tcW w:w="1134" w:type="dxa"/>
            <w:vAlign w:val="center"/>
          </w:tcPr>
          <w:p>
            <w:pPr>
              <w:pStyle w:val="14"/>
            </w:pPr>
            <w:r>
              <w:t>199.65</w:t>
            </w:r>
          </w:p>
        </w:tc>
        <w:tc>
          <w:tcPr>
            <w:tcW w:w="1134" w:type="dxa"/>
            <w:vAlign w:val="center"/>
          </w:tcPr>
          <w:p>
            <w:pPr>
              <w:pStyle w:val="14"/>
            </w:pPr>
            <w:r>
              <w:t>199.65</w:t>
            </w:r>
          </w:p>
        </w:tc>
        <w:tc>
          <w:tcPr>
            <w:tcW w:w="1134" w:type="dxa"/>
            <w:vAlign w:val="center"/>
          </w:tcPr>
          <w:p>
            <w:pPr>
              <w:pStyle w:val="14"/>
            </w:pPr>
            <w:r>
              <w:t>199.65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2014001</w:t>
            </w:r>
          </w:p>
        </w:tc>
        <w:tc>
          <w:tcPr>
            <w:tcW w:w="1559" w:type="dxa"/>
            <w:vAlign w:val="center"/>
          </w:tcPr>
          <w:p>
            <w:pPr>
              <w:pStyle w:val="15"/>
            </w:pPr>
            <w:r>
              <w:t>行政运行</w:t>
            </w:r>
          </w:p>
        </w:tc>
        <w:tc>
          <w:tcPr>
            <w:tcW w:w="1134" w:type="dxa"/>
            <w:vAlign w:val="center"/>
          </w:tcPr>
          <w:p>
            <w:pPr>
              <w:pStyle w:val="14"/>
            </w:pPr>
            <w:r>
              <w:t>99.77</w:t>
            </w:r>
          </w:p>
        </w:tc>
        <w:tc>
          <w:tcPr>
            <w:tcW w:w="1134" w:type="dxa"/>
            <w:vAlign w:val="center"/>
          </w:tcPr>
          <w:p>
            <w:pPr>
              <w:pStyle w:val="14"/>
            </w:pPr>
            <w:r>
              <w:t>99.77</w:t>
            </w:r>
          </w:p>
        </w:tc>
        <w:tc>
          <w:tcPr>
            <w:tcW w:w="1134" w:type="dxa"/>
            <w:vAlign w:val="center"/>
          </w:tcPr>
          <w:p>
            <w:pPr>
              <w:pStyle w:val="14"/>
            </w:pPr>
            <w:r>
              <w:t>99.77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2014002</w:t>
            </w:r>
          </w:p>
        </w:tc>
        <w:tc>
          <w:tcPr>
            <w:tcW w:w="1559" w:type="dxa"/>
            <w:vAlign w:val="center"/>
          </w:tcPr>
          <w:p>
            <w:pPr>
              <w:pStyle w:val="15"/>
            </w:pPr>
            <w:r>
              <w:t>一般行政管理事务</w:t>
            </w:r>
          </w:p>
        </w:tc>
        <w:tc>
          <w:tcPr>
            <w:tcW w:w="1134" w:type="dxa"/>
            <w:vAlign w:val="center"/>
          </w:tcPr>
          <w:p>
            <w:pPr>
              <w:pStyle w:val="14"/>
            </w:pPr>
            <w:r>
              <w:t>62.52</w:t>
            </w:r>
          </w:p>
        </w:tc>
        <w:tc>
          <w:tcPr>
            <w:tcW w:w="1134" w:type="dxa"/>
            <w:vAlign w:val="center"/>
          </w:tcPr>
          <w:p>
            <w:pPr>
              <w:pStyle w:val="14"/>
            </w:pPr>
            <w:r>
              <w:t>62.52</w:t>
            </w:r>
          </w:p>
        </w:tc>
        <w:tc>
          <w:tcPr>
            <w:tcW w:w="1134" w:type="dxa"/>
            <w:vAlign w:val="center"/>
          </w:tcPr>
          <w:p>
            <w:pPr>
              <w:pStyle w:val="14"/>
            </w:pPr>
            <w:r>
              <w:t>62.52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2014099</w:t>
            </w:r>
          </w:p>
        </w:tc>
        <w:tc>
          <w:tcPr>
            <w:tcW w:w="1559" w:type="dxa"/>
            <w:vAlign w:val="center"/>
          </w:tcPr>
          <w:p>
            <w:pPr>
              <w:pStyle w:val="15"/>
            </w:pPr>
            <w:r>
              <w:t>其他信访事务支出</w:t>
            </w:r>
          </w:p>
        </w:tc>
        <w:tc>
          <w:tcPr>
            <w:tcW w:w="1134" w:type="dxa"/>
            <w:vAlign w:val="center"/>
          </w:tcPr>
          <w:p>
            <w:pPr>
              <w:pStyle w:val="14"/>
            </w:pPr>
            <w:r>
              <w:t>37.36</w:t>
            </w:r>
          </w:p>
        </w:tc>
        <w:tc>
          <w:tcPr>
            <w:tcW w:w="1134" w:type="dxa"/>
            <w:vAlign w:val="center"/>
          </w:tcPr>
          <w:p>
            <w:pPr>
              <w:pStyle w:val="14"/>
            </w:pPr>
            <w:r>
              <w:t>37.36</w:t>
            </w:r>
          </w:p>
        </w:tc>
        <w:tc>
          <w:tcPr>
            <w:tcW w:w="1134" w:type="dxa"/>
            <w:vAlign w:val="center"/>
          </w:tcPr>
          <w:p>
            <w:pPr>
              <w:pStyle w:val="14"/>
            </w:pPr>
            <w:r>
              <w:t>37.36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17.61</w:t>
            </w:r>
          </w:p>
        </w:tc>
        <w:tc>
          <w:tcPr>
            <w:tcW w:w="1134" w:type="dxa"/>
            <w:vAlign w:val="center"/>
          </w:tcPr>
          <w:p>
            <w:pPr>
              <w:pStyle w:val="14"/>
            </w:pPr>
            <w:r>
              <w:t>17.61</w:t>
            </w:r>
          </w:p>
        </w:tc>
        <w:tc>
          <w:tcPr>
            <w:tcW w:w="1134" w:type="dxa"/>
            <w:vAlign w:val="center"/>
          </w:tcPr>
          <w:p>
            <w:pPr>
              <w:pStyle w:val="14"/>
            </w:pPr>
            <w:r>
              <w:t>17.61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17.61</w:t>
            </w:r>
          </w:p>
        </w:tc>
        <w:tc>
          <w:tcPr>
            <w:tcW w:w="1134" w:type="dxa"/>
            <w:vAlign w:val="center"/>
          </w:tcPr>
          <w:p>
            <w:pPr>
              <w:pStyle w:val="14"/>
            </w:pPr>
            <w:r>
              <w:t>17.61</w:t>
            </w:r>
          </w:p>
        </w:tc>
        <w:tc>
          <w:tcPr>
            <w:tcW w:w="1134" w:type="dxa"/>
            <w:vAlign w:val="center"/>
          </w:tcPr>
          <w:p>
            <w:pPr>
              <w:pStyle w:val="14"/>
            </w:pPr>
            <w:r>
              <w:t>17.61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17.61</w:t>
            </w:r>
          </w:p>
        </w:tc>
        <w:tc>
          <w:tcPr>
            <w:tcW w:w="1134" w:type="dxa"/>
            <w:vAlign w:val="center"/>
          </w:tcPr>
          <w:p>
            <w:pPr>
              <w:pStyle w:val="14"/>
            </w:pPr>
            <w:r>
              <w:t>17.61</w:t>
            </w:r>
          </w:p>
        </w:tc>
        <w:tc>
          <w:tcPr>
            <w:tcW w:w="1134" w:type="dxa"/>
            <w:vAlign w:val="center"/>
          </w:tcPr>
          <w:p>
            <w:pPr>
              <w:pStyle w:val="14"/>
            </w:pPr>
            <w:r>
              <w:t>17.61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8.67</w:t>
            </w:r>
          </w:p>
        </w:tc>
        <w:tc>
          <w:tcPr>
            <w:tcW w:w="1134" w:type="dxa"/>
            <w:vAlign w:val="center"/>
          </w:tcPr>
          <w:p>
            <w:pPr>
              <w:pStyle w:val="14"/>
            </w:pPr>
            <w:r>
              <w:t>8.67</w:t>
            </w:r>
          </w:p>
        </w:tc>
        <w:tc>
          <w:tcPr>
            <w:tcW w:w="1134" w:type="dxa"/>
            <w:vAlign w:val="center"/>
          </w:tcPr>
          <w:p>
            <w:pPr>
              <w:pStyle w:val="14"/>
            </w:pPr>
            <w:r>
              <w:t>8.67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8.67</w:t>
            </w:r>
          </w:p>
        </w:tc>
        <w:tc>
          <w:tcPr>
            <w:tcW w:w="1134" w:type="dxa"/>
            <w:vAlign w:val="center"/>
          </w:tcPr>
          <w:p>
            <w:pPr>
              <w:pStyle w:val="14"/>
            </w:pPr>
            <w:r>
              <w:t>8.67</w:t>
            </w:r>
          </w:p>
        </w:tc>
        <w:tc>
          <w:tcPr>
            <w:tcW w:w="1134" w:type="dxa"/>
            <w:vAlign w:val="center"/>
          </w:tcPr>
          <w:p>
            <w:pPr>
              <w:pStyle w:val="14"/>
            </w:pPr>
            <w:r>
              <w:t>8.67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5.27</w:t>
            </w:r>
          </w:p>
        </w:tc>
        <w:tc>
          <w:tcPr>
            <w:tcW w:w="1134" w:type="dxa"/>
            <w:vAlign w:val="center"/>
          </w:tcPr>
          <w:p>
            <w:pPr>
              <w:pStyle w:val="14"/>
            </w:pPr>
            <w:r>
              <w:t>5.27</w:t>
            </w:r>
          </w:p>
        </w:tc>
        <w:tc>
          <w:tcPr>
            <w:tcW w:w="1134" w:type="dxa"/>
            <w:vAlign w:val="center"/>
          </w:tcPr>
          <w:p>
            <w:pPr>
              <w:pStyle w:val="14"/>
            </w:pPr>
            <w:r>
              <w:t>5.27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3.40</w:t>
            </w:r>
          </w:p>
        </w:tc>
        <w:tc>
          <w:tcPr>
            <w:tcW w:w="1134" w:type="dxa"/>
            <w:vAlign w:val="center"/>
          </w:tcPr>
          <w:p>
            <w:pPr>
              <w:pStyle w:val="14"/>
            </w:pPr>
            <w:r>
              <w:t>3.40</w:t>
            </w:r>
          </w:p>
        </w:tc>
        <w:tc>
          <w:tcPr>
            <w:tcW w:w="1134" w:type="dxa"/>
            <w:vAlign w:val="center"/>
          </w:tcPr>
          <w:p>
            <w:pPr>
              <w:pStyle w:val="14"/>
            </w:pPr>
            <w:r>
              <w:t>3.40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8.80</w:t>
            </w:r>
          </w:p>
        </w:tc>
        <w:tc>
          <w:tcPr>
            <w:tcW w:w="1134" w:type="dxa"/>
            <w:vAlign w:val="center"/>
          </w:tcPr>
          <w:p>
            <w:pPr>
              <w:pStyle w:val="14"/>
            </w:pPr>
            <w:r>
              <w:t>8.80</w:t>
            </w:r>
          </w:p>
        </w:tc>
        <w:tc>
          <w:tcPr>
            <w:tcW w:w="1134" w:type="dxa"/>
            <w:vAlign w:val="center"/>
          </w:tcPr>
          <w:p>
            <w:pPr>
              <w:pStyle w:val="14"/>
            </w:pPr>
            <w:r>
              <w:t>8.80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8.80</w:t>
            </w:r>
          </w:p>
        </w:tc>
        <w:tc>
          <w:tcPr>
            <w:tcW w:w="1134" w:type="dxa"/>
            <w:vAlign w:val="center"/>
          </w:tcPr>
          <w:p>
            <w:pPr>
              <w:pStyle w:val="14"/>
            </w:pPr>
            <w:r>
              <w:t>8.80</w:t>
            </w:r>
          </w:p>
        </w:tc>
        <w:tc>
          <w:tcPr>
            <w:tcW w:w="1134" w:type="dxa"/>
            <w:vAlign w:val="center"/>
          </w:tcPr>
          <w:p>
            <w:pPr>
              <w:pStyle w:val="14"/>
            </w:pPr>
            <w:r>
              <w:t>8.80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8.80</w:t>
            </w:r>
          </w:p>
        </w:tc>
        <w:tc>
          <w:tcPr>
            <w:tcW w:w="1134" w:type="dxa"/>
            <w:vAlign w:val="center"/>
          </w:tcPr>
          <w:p>
            <w:pPr>
              <w:pStyle w:val="14"/>
            </w:pPr>
            <w:r>
              <w:t>8.80</w:t>
            </w:r>
          </w:p>
        </w:tc>
        <w:tc>
          <w:tcPr>
            <w:tcW w:w="1134" w:type="dxa"/>
            <w:vAlign w:val="center"/>
          </w:tcPr>
          <w:p>
            <w:pPr>
              <w:pStyle w:val="14"/>
            </w:pPr>
            <w:r>
              <w:t>8.80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501昌黎县信访局</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234.73</w:t>
            </w:r>
          </w:p>
        </w:tc>
        <w:tc>
          <w:tcPr>
            <w:tcW w:w="1361" w:type="dxa"/>
            <w:vAlign w:val="center"/>
          </w:tcPr>
          <w:p>
            <w:pPr>
              <w:pStyle w:val="18"/>
            </w:pPr>
            <w:r>
              <w:t>172.21</w:t>
            </w:r>
          </w:p>
        </w:tc>
        <w:tc>
          <w:tcPr>
            <w:tcW w:w="1361" w:type="dxa"/>
            <w:vAlign w:val="center"/>
          </w:tcPr>
          <w:p>
            <w:pPr>
              <w:pStyle w:val="18"/>
            </w:pPr>
            <w:r>
              <w:t>62.52</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199.65</w:t>
            </w:r>
          </w:p>
        </w:tc>
        <w:tc>
          <w:tcPr>
            <w:tcW w:w="1361" w:type="dxa"/>
            <w:vAlign w:val="center"/>
          </w:tcPr>
          <w:p>
            <w:pPr>
              <w:pStyle w:val="14"/>
            </w:pPr>
            <w:r>
              <w:t>137.13</w:t>
            </w:r>
          </w:p>
        </w:tc>
        <w:tc>
          <w:tcPr>
            <w:tcW w:w="1361" w:type="dxa"/>
            <w:vAlign w:val="center"/>
          </w:tcPr>
          <w:p>
            <w:pPr>
              <w:pStyle w:val="14"/>
            </w:pPr>
            <w:r>
              <w:t>62.52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20140</w:t>
            </w:r>
          </w:p>
        </w:tc>
        <w:tc>
          <w:tcPr>
            <w:tcW w:w="4535" w:type="dxa"/>
            <w:vAlign w:val="center"/>
          </w:tcPr>
          <w:p>
            <w:pPr>
              <w:pStyle w:val="15"/>
            </w:pPr>
            <w:r>
              <w:t>信访事务</w:t>
            </w:r>
          </w:p>
        </w:tc>
        <w:tc>
          <w:tcPr>
            <w:tcW w:w="1361" w:type="dxa"/>
            <w:vAlign w:val="center"/>
          </w:tcPr>
          <w:p>
            <w:pPr>
              <w:pStyle w:val="14"/>
            </w:pPr>
            <w:r>
              <w:t>199.65</w:t>
            </w:r>
          </w:p>
        </w:tc>
        <w:tc>
          <w:tcPr>
            <w:tcW w:w="1361" w:type="dxa"/>
            <w:vAlign w:val="center"/>
          </w:tcPr>
          <w:p>
            <w:pPr>
              <w:pStyle w:val="14"/>
            </w:pPr>
            <w:r>
              <w:t>137.13</w:t>
            </w:r>
          </w:p>
        </w:tc>
        <w:tc>
          <w:tcPr>
            <w:tcW w:w="1361" w:type="dxa"/>
            <w:vAlign w:val="center"/>
          </w:tcPr>
          <w:p>
            <w:pPr>
              <w:pStyle w:val="14"/>
            </w:pPr>
            <w:r>
              <w:t>62.52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2014001</w:t>
            </w:r>
          </w:p>
        </w:tc>
        <w:tc>
          <w:tcPr>
            <w:tcW w:w="4535" w:type="dxa"/>
            <w:vAlign w:val="center"/>
          </w:tcPr>
          <w:p>
            <w:pPr>
              <w:pStyle w:val="15"/>
            </w:pPr>
            <w:r>
              <w:t>行政运行</w:t>
            </w:r>
          </w:p>
        </w:tc>
        <w:tc>
          <w:tcPr>
            <w:tcW w:w="1361" w:type="dxa"/>
            <w:vAlign w:val="center"/>
          </w:tcPr>
          <w:p>
            <w:pPr>
              <w:pStyle w:val="14"/>
            </w:pPr>
            <w:r>
              <w:t>99.77</w:t>
            </w:r>
          </w:p>
        </w:tc>
        <w:tc>
          <w:tcPr>
            <w:tcW w:w="1361" w:type="dxa"/>
            <w:vAlign w:val="center"/>
          </w:tcPr>
          <w:p>
            <w:pPr>
              <w:pStyle w:val="14"/>
            </w:pPr>
            <w:r>
              <w:t>99.77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2014002</w:t>
            </w:r>
          </w:p>
        </w:tc>
        <w:tc>
          <w:tcPr>
            <w:tcW w:w="4535" w:type="dxa"/>
            <w:vAlign w:val="center"/>
          </w:tcPr>
          <w:p>
            <w:pPr>
              <w:pStyle w:val="15"/>
            </w:pPr>
            <w:r>
              <w:t>一般行政管理事务</w:t>
            </w:r>
          </w:p>
        </w:tc>
        <w:tc>
          <w:tcPr>
            <w:tcW w:w="1361" w:type="dxa"/>
            <w:vAlign w:val="center"/>
          </w:tcPr>
          <w:p>
            <w:pPr>
              <w:pStyle w:val="14"/>
            </w:pPr>
            <w:r>
              <w:t>62.52</w:t>
            </w:r>
          </w:p>
        </w:tc>
        <w:tc>
          <w:tcPr>
            <w:tcW w:w="1361" w:type="dxa"/>
            <w:vAlign w:val="center"/>
          </w:tcPr>
          <w:p>
            <w:pPr>
              <w:pStyle w:val="14"/>
            </w:pPr>
          </w:p>
        </w:tc>
        <w:tc>
          <w:tcPr>
            <w:tcW w:w="1361" w:type="dxa"/>
            <w:vAlign w:val="center"/>
          </w:tcPr>
          <w:p>
            <w:pPr>
              <w:pStyle w:val="14"/>
            </w:pPr>
            <w:r>
              <w:t>62.52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2014099</w:t>
            </w:r>
          </w:p>
        </w:tc>
        <w:tc>
          <w:tcPr>
            <w:tcW w:w="4535" w:type="dxa"/>
            <w:vAlign w:val="center"/>
          </w:tcPr>
          <w:p>
            <w:pPr>
              <w:pStyle w:val="15"/>
            </w:pPr>
            <w:r>
              <w:t>其他信访事务支出</w:t>
            </w:r>
          </w:p>
        </w:tc>
        <w:tc>
          <w:tcPr>
            <w:tcW w:w="1361" w:type="dxa"/>
            <w:vAlign w:val="center"/>
          </w:tcPr>
          <w:p>
            <w:pPr>
              <w:pStyle w:val="14"/>
            </w:pPr>
            <w:r>
              <w:t>37.36</w:t>
            </w:r>
          </w:p>
        </w:tc>
        <w:tc>
          <w:tcPr>
            <w:tcW w:w="1361" w:type="dxa"/>
            <w:vAlign w:val="center"/>
          </w:tcPr>
          <w:p>
            <w:pPr>
              <w:pStyle w:val="14"/>
            </w:pPr>
            <w:r>
              <w:t>37.36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17.61</w:t>
            </w:r>
          </w:p>
        </w:tc>
        <w:tc>
          <w:tcPr>
            <w:tcW w:w="1361" w:type="dxa"/>
            <w:vAlign w:val="center"/>
          </w:tcPr>
          <w:p>
            <w:pPr>
              <w:pStyle w:val="14"/>
            </w:pPr>
            <w:r>
              <w:t>17.61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17.61</w:t>
            </w:r>
          </w:p>
        </w:tc>
        <w:tc>
          <w:tcPr>
            <w:tcW w:w="1361" w:type="dxa"/>
            <w:vAlign w:val="center"/>
          </w:tcPr>
          <w:p>
            <w:pPr>
              <w:pStyle w:val="14"/>
            </w:pPr>
            <w:r>
              <w:t>17.61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17.61</w:t>
            </w:r>
          </w:p>
        </w:tc>
        <w:tc>
          <w:tcPr>
            <w:tcW w:w="1361" w:type="dxa"/>
            <w:vAlign w:val="center"/>
          </w:tcPr>
          <w:p>
            <w:pPr>
              <w:pStyle w:val="14"/>
            </w:pPr>
            <w:r>
              <w:t>17.61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8.67</w:t>
            </w:r>
          </w:p>
        </w:tc>
        <w:tc>
          <w:tcPr>
            <w:tcW w:w="1361" w:type="dxa"/>
            <w:vAlign w:val="center"/>
          </w:tcPr>
          <w:p>
            <w:pPr>
              <w:pStyle w:val="14"/>
            </w:pPr>
            <w:r>
              <w:t>8.67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8.67</w:t>
            </w:r>
          </w:p>
        </w:tc>
        <w:tc>
          <w:tcPr>
            <w:tcW w:w="1361" w:type="dxa"/>
            <w:vAlign w:val="center"/>
          </w:tcPr>
          <w:p>
            <w:pPr>
              <w:pStyle w:val="14"/>
            </w:pPr>
            <w:r>
              <w:t>8.67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5.27</w:t>
            </w:r>
          </w:p>
        </w:tc>
        <w:tc>
          <w:tcPr>
            <w:tcW w:w="1361" w:type="dxa"/>
            <w:vAlign w:val="center"/>
          </w:tcPr>
          <w:p>
            <w:pPr>
              <w:pStyle w:val="14"/>
            </w:pPr>
            <w:r>
              <w:t>5.27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3.40</w:t>
            </w:r>
          </w:p>
        </w:tc>
        <w:tc>
          <w:tcPr>
            <w:tcW w:w="1361" w:type="dxa"/>
            <w:vAlign w:val="center"/>
          </w:tcPr>
          <w:p>
            <w:pPr>
              <w:pStyle w:val="14"/>
            </w:pPr>
            <w:r>
              <w:t>3.40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8.80</w:t>
            </w:r>
          </w:p>
        </w:tc>
        <w:tc>
          <w:tcPr>
            <w:tcW w:w="1361" w:type="dxa"/>
            <w:vAlign w:val="center"/>
          </w:tcPr>
          <w:p>
            <w:pPr>
              <w:pStyle w:val="14"/>
            </w:pPr>
            <w:r>
              <w:t>8.80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8.80</w:t>
            </w:r>
          </w:p>
        </w:tc>
        <w:tc>
          <w:tcPr>
            <w:tcW w:w="1361" w:type="dxa"/>
            <w:vAlign w:val="center"/>
          </w:tcPr>
          <w:p>
            <w:pPr>
              <w:pStyle w:val="14"/>
            </w:pPr>
            <w:r>
              <w:t>8.80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8.80</w:t>
            </w:r>
          </w:p>
        </w:tc>
        <w:tc>
          <w:tcPr>
            <w:tcW w:w="1361" w:type="dxa"/>
            <w:vAlign w:val="center"/>
          </w:tcPr>
          <w:p>
            <w:pPr>
              <w:pStyle w:val="14"/>
            </w:pPr>
            <w:r>
              <w:t>8.80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501昌黎县信访局</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234.73</w:t>
            </w:r>
          </w:p>
        </w:tc>
        <w:tc>
          <w:tcPr>
            <w:tcW w:w="3402" w:type="dxa"/>
            <w:vAlign w:val="center"/>
          </w:tcPr>
          <w:p>
            <w:pPr>
              <w:pStyle w:val="15"/>
            </w:pPr>
            <w:r>
              <w:t>一、一般公共服务支出</w:t>
            </w:r>
          </w:p>
        </w:tc>
        <w:tc>
          <w:tcPr>
            <w:tcW w:w="1474" w:type="dxa"/>
            <w:vAlign w:val="center"/>
          </w:tcPr>
          <w:p>
            <w:pPr>
              <w:pStyle w:val="14"/>
            </w:pPr>
            <w:r>
              <w:t>199.65</w:t>
            </w:r>
          </w:p>
        </w:tc>
        <w:tc>
          <w:tcPr>
            <w:tcW w:w="1474" w:type="dxa"/>
            <w:vAlign w:val="center"/>
          </w:tcPr>
          <w:p>
            <w:pPr>
              <w:pStyle w:val="14"/>
            </w:pPr>
            <w:r>
              <w:t>199.65</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17.61</w:t>
            </w:r>
          </w:p>
        </w:tc>
        <w:tc>
          <w:tcPr>
            <w:tcW w:w="1474" w:type="dxa"/>
            <w:vAlign w:val="center"/>
          </w:tcPr>
          <w:p>
            <w:pPr>
              <w:pStyle w:val="14"/>
            </w:pPr>
            <w:r>
              <w:t>17.61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8.67</w:t>
            </w:r>
          </w:p>
        </w:tc>
        <w:tc>
          <w:tcPr>
            <w:tcW w:w="1474" w:type="dxa"/>
            <w:vAlign w:val="center"/>
          </w:tcPr>
          <w:p>
            <w:pPr>
              <w:pStyle w:val="14"/>
            </w:pPr>
            <w:r>
              <w:t>8.67</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8.80</w:t>
            </w:r>
          </w:p>
        </w:tc>
        <w:tc>
          <w:tcPr>
            <w:tcW w:w="1474" w:type="dxa"/>
            <w:vAlign w:val="center"/>
          </w:tcPr>
          <w:p>
            <w:pPr>
              <w:pStyle w:val="14"/>
            </w:pPr>
            <w:r>
              <w:t>8.80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234.73</w:t>
            </w:r>
          </w:p>
        </w:tc>
        <w:tc>
          <w:tcPr>
            <w:tcW w:w="3402" w:type="dxa"/>
            <w:vAlign w:val="center"/>
          </w:tcPr>
          <w:p>
            <w:pPr>
              <w:pStyle w:val="17"/>
            </w:pPr>
            <w:r>
              <w:t>本年支出合计</w:t>
            </w:r>
          </w:p>
        </w:tc>
        <w:tc>
          <w:tcPr>
            <w:tcW w:w="1474" w:type="dxa"/>
            <w:vAlign w:val="center"/>
          </w:tcPr>
          <w:p>
            <w:pPr>
              <w:pStyle w:val="18"/>
            </w:pPr>
            <w:r>
              <w:t>234.73</w:t>
            </w:r>
          </w:p>
        </w:tc>
        <w:tc>
          <w:tcPr>
            <w:tcW w:w="1474" w:type="dxa"/>
            <w:vAlign w:val="center"/>
          </w:tcPr>
          <w:p>
            <w:pPr>
              <w:pStyle w:val="18"/>
            </w:pPr>
            <w:r>
              <w:t>234.73</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234.73</w:t>
            </w:r>
          </w:p>
        </w:tc>
        <w:tc>
          <w:tcPr>
            <w:tcW w:w="3402" w:type="dxa"/>
            <w:vAlign w:val="center"/>
          </w:tcPr>
          <w:p>
            <w:pPr>
              <w:pStyle w:val="17"/>
            </w:pPr>
            <w:r>
              <w:t>支出总计</w:t>
            </w:r>
          </w:p>
        </w:tc>
        <w:tc>
          <w:tcPr>
            <w:tcW w:w="1474" w:type="dxa"/>
            <w:vAlign w:val="center"/>
          </w:tcPr>
          <w:p>
            <w:pPr>
              <w:pStyle w:val="18"/>
            </w:pPr>
            <w:r>
              <w:t>234.73</w:t>
            </w:r>
          </w:p>
        </w:tc>
        <w:tc>
          <w:tcPr>
            <w:tcW w:w="1474" w:type="dxa"/>
            <w:vAlign w:val="center"/>
          </w:tcPr>
          <w:p>
            <w:pPr>
              <w:pStyle w:val="18"/>
            </w:pPr>
            <w:r>
              <w:t>234.73</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501昌黎县信访局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234.73</w:t>
            </w:r>
          </w:p>
        </w:tc>
        <w:tc>
          <w:tcPr>
            <w:tcW w:w="2551" w:type="dxa"/>
            <w:vAlign w:val="center"/>
          </w:tcPr>
          <w:p>
            <w:pPr>
              <w:pStyle w:val="18"/>
            </w:pPr>
            <w:r>
              <w:t>172.21</w:t>
            </w:r>
          </w:p>
        </w:tc>
        <w:tc>
          <w:tcPr>
            <w:tcW w:w="2551" w:type="dxa"/>
            <w:vAlign w:val="center"/>
          </w:tcPr>
          <w:p>
            <w:pPr>
              <w:pStyle w:val="18"/>
            </w:pPr>
            <w:r>
              <w:t>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199.65</w:t>
            </w:r>
          </w:p>
        </w:tc>
        <w:tc>
          <w:tcPr>
            <w:tcW w:w="2551" w:type="dxa"/>
            <w:vAlign w:val="center"/>
          </w:tcPr>
          <w:p>
            <w:pPr>
              <w:pStyle w:val="14"/>
            </w:pPr>
            <w:r>
              <w:t>137.13</w:t>
            </w:r>
          </w:p>
        </w:tc>
        <w:tc>
          <w:tcPr>
            <w:tcW w:w="2551" w:type="dxa"/>
            <w:vAlign w:val="center"/>
          </w:tcPr>
          <w:p>
            <w:pPr>
              <w:pStyle w:val="14"/>
            </w:pPr>
            <w:r>
              <w:t>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20140</w:t>
            </w:r>
          </w:p>
        </w:tc>
        <w:tc>
          <w:tcPr>
            <w:tcW w:w="4535" w:type="dxa"/>
            <w:vAlign w:val="center"/>
          </w:tcPr>
          <w:p>
            <w:pPr>
              <w:pStyle w:val="15"/>
            </w:pPr>
            <w:r>
              <w:t>信访事务</w:t>
            </w:r>
          </w:p>
        </w:tc>
        <w:tc>
          <w:tcPr>
            <w:tcW w:w="2551" w:type="dxa"/>
            <w:vAlign w:val="center"/>
          </w:tcPr>
          <w:p>
            <w:pPr>
              <w:pStyle w:val="14"/>
            </w:pPr>
            <w:r>
              <w:t>199.65</w:t>
            </w:r>
          </w:p>
        </w:tc>
        <w:tc>
          <w:tcPr>
            <w:tcW w:w="2551" w:type="dxa"/>
            <w:vAlign w:val="center"/>
          </w:tcPr>
          <w:p>
            <w:pPr>
              <w:pStyle w:val="14"/>
            </w:pPr>
            <w:r>
              <w:t>137.13</w:t>
            </w:r>
          </w:p>
        </w:tc>
        <w:tc>
          <w:tcPr>
            <w:tcW w:w="2551" w:type="dxa"/>
            <w:vAlign w:val="center"/>
          </w:tcPr>
          <w:p>
            <w:pPr>
              <w:pStyle w:val="14"/>
            </w:pPr>
            <w:r>
              <w:t>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2014001</w:t>
            </w:r>
          </w:p>
        </w:tc>
        <w:tc>
          <w:tcPr>
            <w:tcW w:w="4535" w:type="dxa"/>
            <w:vAlign w:val="center"/>
          </w:tcPr>
          <w:p>
            <w:pPr>
              <w:pStyle w:val="15"/>
            </w:pPr>
            <w:r>
              <w:t>行政运行</w:t>
            </w:r>
          </w:p>
        </w:tc>
        <w:tc>
          <w:tcPr>
            <w:tcW w:w="2551" w:type="dxa"/>
            <w:vAlign w:val="center"/>
          </w:tcPr>
          <w:p>
            <w:pPr>
              <w:pStyle w:val="14"/>
            </w:pPr>
            <w:r>
              <w:t>99.77</w:t>
            </w:r>
          </w:p>
        </w:tc>
        <w:tc>
          <w:tcPr>
            <w:tcW w:w="2551" w:type="dxa"/>
            <w:vAlign w:val="center"/>
          </w:tcPr>
          <w:p>
            <w:pPr>
              <w:pStyle w:val="14"/>
            </w:pPr>
            <w:r>
              <w:t>99.77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2014002</w:t>
            </w:r>
          </w:p>
        </w:tc>
        <w:tc>
          <w:tcPr>
            <w:tcW w:w="4535" w:type="dxa"/>
            <w:vAlign w:val="center"/>
          </w:tcPr>
          <w:p>
            <w:pPr>
              <w:pStyle w:val="15"/>
            </w:pPr>
            <w:r>
              <w:t>一般行政管理事务</w:t>
            </w:r>
          </w:p>
        </w:tc>
        <w:tc>
          <w:tcPr>
            <w:tcW w:w="2551" w:type="dxa"/>
            <w:vAlign w:val="center"/>
          </w:tcPr>
          <w:p>
            <w:pPr>
              <w:pStyle w:val="14"/>
            </w:pPr>
            <w:r>
              <w:t>62.52</w:t>
            </w:r>
          </w:p>
        </w:tc>
        <w:tc>
          <w:tcPr>
            <w:tcW w:w="2551" w:type="dxa"/>
            <w:vAlign w:val="center"/>
          </w:tcPr>
          <w:p>
            <w:pPr>
              <w:pStyle w:val="14"/>
            </w:pPr>
          </w:p>
        </w:tc>
        <w:tc>
          <w:tcPr>
            <w:tcW w:w="2551" w:type="dxa"/>
            <w:vAlign w:val="center"/>
          </w:tcPr>
          <w:p>
            <w:pPr>
              <w:pStyle w:val="14"/>
            </w:pPr>
            <w:r>
              <w:t>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2014099</w:t>
            </w:r>
          </w:p>
        </w:tc>
        <w:tc>
          <w:tcPr>
            <w:tcW w:w="4535" w:type="dxa"/>
            <w:vAlign w:val="center"/>
          </w:tcPr>
          <w:p>
            <w:pPr>
              <w:pStyle w:val="15"/>
            </w:pPr>
            <w:r>
              <w:t>其他信访事务支出</w:t>
            </w:r>
          </w:p>
        </w:tc>
        <w:tc>
          <w:tcPr>
            <w:tcW w:w="2551" w:type="dxa"/>
            <w:vAlign w:val="center"/>
          </w:tcPr>
          <w:p>
            <w:pPr>
              <w:pStyle w:val="14"/>
            </w:pPr>
            <w:r>
              <w:t>37.36</w:t>
            </w:r>
          </w:p>
        </w:tc>
        <w:tc>
          <w:tcPr>
            <w:tcW w:w="2551" w:type="dxa"/>
            <w:vAlign w:val="center"/>
          </w:tcPr>
          <w:p>
            <w:pPr>
              <w:pStyle w:val="14"/>
            </w:pPr>
            <w:r>
              <w:t>37.36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17.61</w:t>
            </w:r>
          </w:p>
        </w:tc>
        <w:tc>
          <w:tcPr>
            <w:tcW w:w="2551" w:type="dxa"/>
            <w:vAlign w:val="center"/>
          </w:tcPr>
          <w:p>
            <w:pPr>
              <w:pStyle w:val="14"/>
            </w:pPr>
            <w:r>
              <w:t>17.61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17.61</w:t>
            </w:r>
          </w:p>
        </w:tc>
        <w:tc>
          <w:tcPr>
            <w:tcW w:w="2551" w:type="dxa"/>
            <w:vAlign w:val="center"/>
          </w:tcPr>
          <w:p>
            <w:pPr>
              <w:pStyle w:val="14"/>
            </w:pPr>
            <w:r>
              <w:t>17.61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17.61</w:t>
            </w:r>
          </w:p>
        </w:tc>
        <w:tc>
          <w:tcPr>
            <w:tcW w:w="2551" w:type="dxa"/>
            <w:vAlign w:val="center"/>
          </w:tcPr>
          <w:p>
            <w:pPr>
              <w:pStyle w:val="14"/>
            </w:pPr>
            <w:r>
              <w:t>17.61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8.67</w:t>
            </w:r>
          </w:p>
        </w:tc>
        <w:tc>
          <w:tcPr>
            <w:tcW w:w="2551" w:type="dxa"/>
            <w:vAlign w:val="center"/>
          </w:tcPr>
          <w:p>
            <w:pPr>
              <w:pStyle w:val="14"/>
            </w:pPr>
            <w:r>
              <w:t>8.67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8.67</w:t>
            </w:r>
          </w:p>
        </w:tc>
        <w:tc>
          <w:tcPr>
            <w:tcW w:w="2551" w:type="dxa"/>
            <w:vAlign w:val="center"/>
          </w:tcPr>
          <w:p>
            <w:pPr>
              <w:pStyle w:val="14"/>
            </w:pPr>
            <w:r>
              <w:t>8.67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5.27</w:t>
            </w:r>
          </w:p>
        </w:tc>
        <w:tc>
          <w:tcPr>
            <w:tcW w:w="2551" w:type="dxa"/>
            <w:vAlign w:val="center"/>
          </w:tcPr>
          <w:p>
            <w:pPr>
              <w:pStyle w:val="14"/>
            </w:pPr>
            <w:r>
              <w:t>5.27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3.40</w:t>
            </w:r>
          </w:p>
        </w:tc>
        <w:tc>
          <w:tcPr>
            <w:tcW w:w="2551" w:type="dxa"/>
            <w:vAlign w:val="center"/>
          </w:tcPr>
          <w:p>
            <w:pPr>
              <w:pStyle w:val="14"/>
            </w:pPr>
            <w:r>
              <w:t>3.40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8.80</w:t>
            </w:r>
          </w:p>
        </w:tc>
        <w:tc>
          <w:tcPr>
            <w:tcW w:w="2551" w:type="dxa"/>
            <w:vAlign w:val="center"/>
          </w:tcPr>
          <w:p>
            <w:pPr>
              <w:pStyle w:val="14"/>
            </w:pPr>
            <w:r>
              <w:t>8.80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8.80</w:t>
            </w:r>
          </w:p>
        </w:tc>
        <w:tc>
          <w:tcPr>
            <w:tcW w:w="2551" w:type="dxa"/>
            <w:vAlign w:val="center"/>
          </w:tcPr>
          <w:p>
            <w:pPr>
              <w:pStyle w:val="14"/>
            </w:pPr>
            <w:r>
              <w:t>8.80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8.80</w:t>
            </w:r>
          </w:p>
        </w:tc>
        <w:tc>
          <w:tcPr>
            <w:tcW w:w="2551" w:type="dxa"/>
            <w:vAlign w:val="center"/>
          </w:tcPr>
          <w:p>
            <w:pPr>
              <w:pStyle w:val="14"/>
            </w:pPr>
            <w:r>
              <w:t>8.80</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501昌黎县信访局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172.21</w:t>
            </w:r>
          </w:p>
        </w:tc>
        <w:tc>
          <w:tcPr>
            <w:tcW w:w="2551" w:type="dxa"/>
            <w:vAlign w:val="center"/>
          </w:tcPr>
          <w:p>
            <w:pPr>
              <w:pStyle w:val="18"/>
            </w:pPr>
            <w:r>
              <w:t>156.68</w:t>
            </w:r>
          </w:p>
        </w:tc>
        <w:tc>
          <w:tcPr>
            <w:tcW w:w="2551" w:type="dxa"/>
            <w:vAlign w:val="center"/>
          </w:tcPr>
          <w:p>
            <w:pPr>
              <w:pStyle w:val="18"/>
            </w:pPr>
            <w:r>
              <w:t>15.53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149.89</w:t>
            </w:r>
          </w:p>
        </w:tc>
        <w:tc>
          <w:tcPr>
            <w:tcW w:w="2551" w:type="dxa"/>
            <w:vAlign w:val="center"/>
          </w:tcPr>
          <w:p>
            <w:pPr>
              <w:pStyle w:val="14"/>
            </w:pPr>
            <w:r>
              <w:t>149.89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65.56</w:t>
            </w:r>
          </w:p>
        </w:tc>
        <w:tc>
          <w:tcPr>
            <w:tcW w:w="2551" w:type="dxa"/>
            <w:vAlign w:val="center"/>
          </w:tcPr>
          <w:p>
            <w:pPr>
              <w:pStyle w:val="14"/>
            </w:pPr>
            <w:r>
              <w:t>65.56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24.49</w:t>
            </w:r>
          </w:p>
        </w:tc>
        <w:tc>
          <w:tcPr>
            <w:tcW w:w="2551" w:type="dxa"/>
            <w:vAlign w:val="center"/>
          </w:tcPr>
          <w:p>
            <w:pPr>
              <w:pStyle w:val="14"/>
            </w:pPr>
            <w:r>
              <w:t>24.49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9.86</w:t>
            </w:r>
          </w:p>
        </w:tc>
        <w:tc>
          <w:tcPr>
            <w:tcW w:w="2551" w:type="dxa"/>
            <w:vAlign w:val="center"/>
          </w:tcPr>
          <w:p>
            <w:pPr>
              <w:pStyle w:val="14"/>
            </w:pPr>
            <w:r>
              <w:t>9.86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14.14</w:t>
            </w:r>
          </w:p>
        </w:tc>
        <w:tc>
          <w:tcPr>
            <w:tcW w:w="2551" w:type="dxa"/>
            <w:vAlign w:val="center"/>
          </w:tcPr>
          <w:p>
            <w:pPr>
              <w:pStyle w:val="14"/>
            </w:pPr>
            <w:r>
              <w:t>14.14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17.61</w:t>
            </w:r>
          </w:p>
        </w:tc>
        <w:tc>
          <w:tcPr>
            <w:tcW w:w="2551" w:type="dxa"/>
            <w:vAlign w:val="center"/>
          </w:tcPr>
          <w:p>
            <w:pPr>
              <w:pStyle w:val="14"/>
            </w:pPr>
            <w:r>
              <w:t>17.61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8.67</w:t>
            </w:r>
          </w:p>
        </w:tc>
        <w:tc>
          <w:tcPr>
            <w:tcW w:w="2551" w:type="dxa"/>
            <w:vAlign w:val="center"/>
          </w:tcPr>
          <w:p>
            <w:pPr>
              <w:pStyle w:val="14"/>
            </w:pPr>
            <w:r>
              <w:t>8.67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0.74</w:t>
            </w:r>
          </w:p>
        </w:tc>
        <w:tc>
          <w:tcPr>
            <w:tcW w:w="2551" w:type="dxa"/>
            <w:vAlign w:val="center"/>
          </w:tcPr>
          <w:p>
            <w:pPr>
              <w:pStyle w:val="14"/>
            </w:pPr>
            <w:r>
              <w:t>0.74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8.80</w:t>
            </w:r>
          </w:p>
        </w:tc>
        <w:tc>
          <w:tcPr>
            <w:tcW w:w="2551" w:type="dxa"/>
            <w:vAlign w:val="center"/>
          </w:tcPr>
          <w:p>
            <w:pPr>
              <w:pStyle w:val="14"/>
            </w:pPr>
            <w:r>
              <w:t>8.80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15.53</w:t>
            </w:r>
          </w:p>
        </w:tc>
        <w:tc>
          <w:tcPr>
            <w:tcW w:w="2551" w:type="dxa"/>
            <w:vAlign w:val="center"/>
          </w:tcPr>
          <w:p>
            <w:pPr>
              <w:pStyle w:val="14"/>
            </w:pPr>
          </w:p>
        </w:tc>
        <w:tc>
          <w:tcPr>
            <w:tcW w:w="2551" w:type="dxa"/>
            <w:vAlign w:val="center"/>
          </w:tcPr>
          <w:p>
            <w:pPr>
              <w:pStyle w:val="14"/>
            </w:pPr>
            <w:r>
              <w:t>15.53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3.16</w:t>
            </w:r>
          </w:p>
        </w:tc>
        <w:tc>
          <w:tcPr>
            <w:tcW w:w="2551" w:type="dxa"/>
            <w:vAlign w:val="center"/>
          </w:tcPr>
          <w:p>
            <w:pPr>
              <w:pStyle w:val="14"/>
            </w:pPr>
          </w:p>
        </w:tc>
        <w:tc>
          <w:tcPr>
            <w:tcW w:w="2551" w:type="dxa"/>
            <w:vAlign w:val="center"/>
          </w:tcPr>
          <w:p>
            <w:pPr>
              <w:pStyle w:val="14"/>
            </w:pPr>
            <w:r>
              <w:t>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1.05</w:t>
            </w:r>
          </w:p>
        </w:tc>
        <w:tc>
          <w:tcPr>
            <w:tcW w:w="2551" w:type="dxa"/>
            <w:vAlign w:val="center"/>
          </w:tcPr>
          <w:p>
            <w:pPr>
              <w:pStyle w:val="14"/>
            </w:pPr>
          </w:p>
        </w:tc>
        <w:tc>
          <w:tcPr>
            <w:tcW w:w="2551" w:type="dxa"/>
            <w:vAlign w:val="center"/>
          </w:tcPr>
          <w:p>
            <w:pPr>
              <w:pStyle w:val="14"/>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5.24</w:t>
            </w:r>
          </w:p>
        </w:tc>
        <w:tc>
          <w:tcPr>
            <w:tcW w:w="2551" w:type="dxa"/>
            <w:vAlign w:val="center"/>
          </w:tcPr>
          <w:p>
            <w:pPr>
              <w:pStyle w:val="14"/>
            </w:pPr>
          </w:p>
        </w:tc>
        <w:tc>
          <w:tcPr>
            <w:tcW w:w="2551" w:type="dxa"/>
            <w:vAlign w:val="center"/>
          </w:tcPr>
          <w:p>
            <w:pPr>
              <w:pStyle w:val="14"/>
            </w:pPr>
            <w:r>
              <w:t>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5.94</w:t>
            </w:r>
          </w:p>
        </w:tc>
        <w:tc>
          <w:tcPr>
            <w:tcW w:w="2551" w:type="dxa"/>
            <w:vAlign w:val="center"/>
          </w:tcPr>
          <w:p>
            <w:pPr>
              <w:pStyle w:val="14"/>
            </w:pPr>
          </w:p>
        </w:tc>
        <w:tc>
          <w:tcPr>
            <w:tcW w:w="2551" w:type="dxa"/>
            <w:vAlign w:val="center"/>
          </w:tcPr>
          <w:p>
            <w:pPr>
              <w:pStyle w:val="14"/>
            </w:pPr>
            <w:r>
              <w:t>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0.14</w:t>
            </w:r>
          </w:p>
        </w:tc>
        <w:tc>
          <w:tcPr>
            <w:tcW w:w="2551" w:type="dxa"/>
            <w:vAlign w:val="center"/>
          </w:tcPr>
          <w:p>
            <w:pPr>
              <w:pStyle w:val="14"/>
            </w:pPr>
          </w:p>
        </w:tc>
        <w:tc>
          <w:tcPr>
            <w:tcW w:w="2551" w:type="dxa"/>
            <w:vAlign w:val="center"/>
          </w:tcPr>
          <w:p>
            <w:pPr>
              <w:pStyle w:val="14"/>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6.79</w:t>
            </w:r>
          </w:p>
        </w:tc>
        <w:tc>
          <w:tcPr>
            <w:tcW w:w="2551" w:type="dxa"/>
            <w:vAlign w:val="center"/>
          </w:tcPr>
          <w:p>
            <w:pPr>
              <w:pStyle w:val="14"/>
            </w:pPr>
            <w:r>
              <w:t>6.79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4.80</w:t>
            </w:r>
          </w:p>
        </w:tc>
        <w:tc>
          <w:tcPr>
            <w:tcW w:w="2551" w:type="dxa"/>
            <w:vAlign w:val="center"/>
          </w:tcPr>
          <w:p>
            <w:pPr>
              <w:pStyle w:val="14"/>
            </w:pPr>
            <w:r>
              <w:t>4.80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1.99</w:t>
            </w:r>
          </w:p>
        </w:tc>
        <w:tc>
          <w:tcPr>
            <w:tcW w:w="2551" w:type="dxa"/>
            <w:vAlign w:val="center"/>
          </w:tcPr>
          <w:p>
            <w:pPr>
              <w:pStyle w:val="14"/>
            </w:pPr>
            <w:r>
              <w:t>1.99</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501昌黎县信访局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501昌黎县信访局</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501昌黎县信访局</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5.24</w:t>
            </w:r>
          </w:p>
        </w:tc>
        <w:tc>
          <w:tcPr>
            <w:tcW w:w="2381" w:type="dxa"/>
            <w:vAlign w:val="center"/>
          </w:tcPr>
          <w:p>
            <w:pPr>
              <w:pStyle w:val="18"/>
            </w:pPr>
            <w:r>
              <w:t>5.24</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5.24</w:t>
            </w:r>
          </w:p>
        </w:tc>
        <w:tc>
          <w:tcPr>
            <w:tcW w:w="2381" w:type="dxa"/>
            <w:vAlign w:val="center"/>
          </w:tcPr>
          <w:p>
            <w:pPr>
              <w:pStyle w:val="14"/>
            </w:pPr>
            <w:r>
              <w:t>5.24</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5.24</w:t>
            </w:r>
          </w:p>
        </w:tc>
        <w:tc>
          <w:tcPr>
            <w:tcW w:w="2381" w:type="dxa"/>
            <w:vAlign w:val="center"/>
          </w:tcPr>
          <w:p>
            <w:pPr>
              <w:pStyle w:val="14"/>
            </w:pPr>
            <w:r>
              <w:t>5.24</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5.24</w:t>
            </w:r>
          </w:p>
        </w:tc>
        <w:tc>
          <w:tcPr>
            <w:tcW w:w="2381" w:type="dxa"/>
            <w:vAlign w:val="center"/>
          </w:tcPr>
          <w:p>
            <w:pPr>
              <w:pStyle w:val="14"/>
            </w:pPr>
            <w:r>
              <w:t>5.24</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昌黎县信访局2026年部门预算信息公开情况说明</w:t>
      </w:r>
    </w:p>
    <w:p>
      <w:pPr>
        <w:jc w:val="center"/>
      </w:pPr>
      <w:r>
        <w:rPr>
          <w:rFonts w:ascii="方正小标宋_GBK" w:hAnsi="方正小标宋_GBK" w:eastAsia="方正小标宋_GBK" w:cs="方正小标宋_GBK"/>
          <w:color w:val="000000"/>
          <w:sz w:val="44"/>
        </w:rPr>
        <w:t>昌黎县信访局2026年部门预算信息公开情况说明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按照《中华人民共和国预算法》、《地方预决算公开操作规程》和《关于进一步推进预算公开工作的实施意见》规定，现将昌黎县信访局2026年部门预算公开如下：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spacing w:line="500" w:lineRule="exact"/>
        <w:ind w:firstLine="560" w:firstLineChars="200"/>
        <w:rPr>
          <w:rFonts w:eastAsia="方正仿宋_GBK"/>
          <w:color w:val="000000"/>
          <w:sz w:val="28"/>
        </w:rPr>
      </w:pPr>
      <w:r>
        <w:rPr>
          <w:rFonts w:hint="eastAsia" w:eastAsia="方正仿宋_GBK"/>
          <w:color w:val="000000"/>
          <w:sz w:val="28"/>
        </w:rPr>
        <w:t>涉密，按照规定不予公开。</w:t>
      </w:r>
    </w:p>
    <w:p>
      <w:pPr>
        <w:ind w:firstLine="640"/>
      </w:pPr>
      <w:r>
        <w:rPr>
          <w:rFonts w:ascii="方正楷体_GBK" w:hAnsi="方正楷体_GBK" w:eastAsia="方正楷体_GBK" w:cs="方正楷体_GBK"/>
          <w:b/>
          <w:color w:val="000000"/>
          <w:sz w:val="32"/>
        </w:rPr>
        <w:t>机构设置：</w:t>
      </w:r>
    </w:p>
    <w:p>
      <w:pPr>
        <w:spacing w:line="500" w:lineRule="exact"/>
        <w:ind w:firstLine="560" w:firstLineChars="200"/>
        <w:rPr>
          <w:rFonts w:eastAsia="方正仿宋_GBK"/>
          <w:color w:val="000000"/>
          <w:sz w:val="28"/>
        </w:rPr>
      </w:pPr>
      <w:bookmarkStart w:id="10" w:name="_Toc_3_3_0000000011"/>
      <w:r>
        <w:rPr>
          <w:rFonts w:hint="eastAsia" w:eastAsia="方正仿宋_GBK"/>
          <w:color w:val="000000"/>
          <w:sz w:val="28"/>
        </w:rPr>
        <w:t>涉密，按照规定不予公开。</w:t>
      </w:r>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按照预算管理有关规定，目前部门预算的编制实行综合预算管理，即全部收入和支出都反映在预算中。昌黎县信访局机关及所属事业单位的收支包含在部门预算中。</w:t>
      </w:r>
    </w:p>
    <w:p>
      <w:pPr>
        <w:pStyle w:val="21"/>
      </w:pPr>
      <w:r>
        <w:t>1、收入说明</w:t>
      </w:r>
    </w:p>
    <w:p>
      <w:pPr>
        <w:pStyle w:val="21"/>
      </w:pPr>
      <w:r>
        <w:t>反映本部门当年全部收入。2026年预算收入234.73万元，其中：一般公共预算收入234.73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信访局年度部门预算中支出预算的总体情况。2026年支出预算234.73万元，其中基本支出172.21万元，包括人员经费156.68万元和日常公用经费15.53万元；项目支出62.52万元，主要为劳务派遣人员支出；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234.73万元，较2025年预算增加7.37万元，其中：基本支出增加4.85万元，主要为政策性调资。项目支出增加2.52万元，主要为劳务派遣人员支出2026年较2025年增加。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2"/>
      </w:pPr>
      <w:r>
        <w:t>2026年，我部门机关运行经费共计安排15.53万元，主要用于日常维修、办公用房水电费、办公用房取暖费、办公用房物业管理费等日常运行支出。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2026年，我部门财政拨款“三公”经费预算安排5.24万元，其中因公出国（境）费0.00万元；公务用车购置及运维费5.24万元（其中：公务用车购置费为0.00万元，公务用车运维费5.24万元)；公务接待费0.00万元。与2025年相比减少0.16万元，增减变化的主要原因是为落实习惯过紧日子要求，压减公务用车运维费。</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s="Times New Roman"/>
          <w:color w:val="000000"/>
          <w:sz w:val="28"/>
        </w:rPr>
        <w:t>（一）总体绩效目标</w:t>
      </w:r>
    </w:p>
    <w:p>
      <w:pPr>
        <w:pStyle w:val="24"/>
      </w:pPr>
      <w:r>
        <w:t>坚持以习近平新时代中国特色社会主义思想为指导，深入贯彻习近平总书记关于加强和改进人民信访工作的重要指示精神，坚决落实好中央和省市关于信访工作的各项决策部署，进一步强化责任和措施，确保群众合理合法诉求得到依法、及时、就地解决;确保进京赴省到市访量持续明显下降;确保不发生进京赴省大规模集体上访，不发生因信访问题引发的群体性事件、极端恶性事件和媒体负面炒作，努力实现“北京不能去、河北不能聚”的目标要求，有效促进社会和谐稳定。</w:t>
      </w:r>
    </w:p>
    <w:p>
      <w:pPr>
        <w:pStyle w:val="24"/>
      </w:pPr>
      <w:r>
        <w:t>（一）加强矛盾纠纷排查化解和信访风险防控预警，定期排查分析本辖区不稳定因素，制定处理信访突出问题及突发事件的工作预案；严防发生重大集体上访、群体性聚集事件、极端信访行为和恶性事件。</w:t>
      </w:r>
    </w:p>
    <w:p>
      <w:pPr>
        <w:pStyle w:val="24"/>
      </w:pPr>
      <w:r>
        <w:t>（二）严格落实接访约访下访、包案督访、阅批群众来信等工作制度，加大对信访矛盾突出的重点领域整治力度，推动信访积案和疑难复杂信访事项的解决。</w:t>
      </w:r>
    </w:p>
    <w:p>
      <w:pPr>
        <w:pStyle w:val="24"/>
      </w:pPr>
      <w:r>
        <w:t>（三）加大源头化解力度，规范办理信访事项基础业务，提高初信初访的化解质量，提升信访事项“三率”整体水平，确保群众合理诉求得到依法、及时、就地解决。</w:t>
      </w:r>
    </w:p>
    <w:p>
      <w:pPr>
        <w:pStyle w:val="24"/>
      </w:pPr>
      <w:r>
        <w:t>（四）规范信访秩序，引导群众依法有序逐级上访，加大对重复进京赴省访治理力度，确保进京赴省访量持续明显下降。</w:t>
      </w:r>
    </w:p>
    <w:p>
      <w:pPr>
        <w:pStyle w:val="24"/>
      </w:pPr>
      <w:r>
        <w:t>（五）扎实开展“积案攻坚年”、“基层基础年”、“规范提升年”、“提质提效年”四项活动，下大力气消积案、减存量，力争积案归零、新案随清，三无乡镇占比同比提升5个百分点以上。</w:t>
      </w:r>
    </w:p>
    <w:p>
      <w:pPr>
        <w:pStyle w:val="24"/>
      </w:pPr>
      <w:r>
        <w:t>（六）全力做好重点时期的信访工作，加强统筹协调，全力做好全国两会、旅游旺季、二十大等重要节点、重大活动、重点时期的信访工作，确保不发生进京赴省大规模上访，不发生因信访问题引发的群体性事件、极端恶性事件和媒体负面炒作，努力实现“北京不去、河北不聚”目标要求。</w:t>
      </w:r>
    </w:p>
    <w:p>
      <w:pPr>
        <w:pStyle w:val="24"/>
      </w:pPr>
      <w:r>
        <w:t>（七）加强对信访工作的领导，从人力物力财力上保障信访工作顺利开展，持续加强“一委三中心”建设，最大限度地化解基层矛盾。</w:t>
      </w:r>
    </w:p>
    <w:p>
      <w:pPr>
        <w:spacing w:line="500" w:lineRule="exact"/>
        <w:ind w:firstLine="560"/>
      </w:pPr>
      <w:r>
        <w:rPr>
          <w:rFonts w:eastAsia="方正仿宋_GBK" w:cs="Times New Roman"/>
          <w:color w:val="000000"/>
          <w:sz w:val="28"/>
        </w:rPr>
        <w:t>（二）分项绩效目标</w:t>
      </w:r>
    </w:p>
    <w:p>
      <w:pPr>
        <w:pStyle w:val="25"/>
      </w:pPr>
      <w:r>
        <w:t>（一）保障机关事务正常运行。组织协调信访联席会议、维护县内重要活动的正常顺利举办、落实县级领导公开接访制度，做好公文流转、公车管理、后勤保障等综合管理。</w:t>
      </w:r>
    </w:p>
    <w:p>
      <w:pPr>
        <w:pStyle w:val="25"/>
      </w:pPr>
      <w:r>
        <w:t>绩效目标：节约资源，降低消耗，实现绿色办公。</w:t>
      </w:r>
    </w:p>
    <w:p>
      <w:pPr>
        <w:pStyle w:val="25"/>
      </w:pPr>
      <w:r>
        <w:t>绩效指标：加强对经费使用的管理，在保障信访各项业务有序开展的基础上，严格控制各项经费支出，确保三公支出不高于上一年度的支出数额。</w:t>
      </w:r>
    </w:p>
    <w:p>
      <w:pPr>
        <w:pStyle w:val="25"/>
      </w:pPr>
      <w:r>
        <w:t>（二）做好信访各项业务有序开展，提高案件办理质量，确保信访事项“三率”指标稳步提升。有效化解信访积案，提高息诉息访率。严格控制各项经费支出，节约资源，降低消耗，实现绿色办公。</w:t>
      </w:r>
    </w:p>
    <w:p>
      <w:pPr>
        <w:pStyle w:val="25"/>
      </w:pPr>
      <w:r>
        <w:t>绩效目标1：提高信访积案息诉息访率。</w:t>
      </w:r>
    </w:p>
    <w:p>
      <w:pPr>
        <w:pStyle w:val="25"/>
      </w:pPr>
      <w:r>
        <w:t>绩效指标1：年度内，国家信访局、河北省信访局交办的信访积案息诉息访率达到60%以上。</w:t>
      </w:r>
    </w:p>
    <w:p>
      <w:pPr>
        <w:pStyle w:val="25"/>
      </w:pPr>
      <w:r>
        <w:t>绩效目标2：提升“三率”指标。</w:t>
      </w:r>
    </w:p>
    <w:p>
      <w:pPr>
        <w:pStyle w:val="25"/>
      </w:pPr>
      <w:r>
        <w:t>绩效指标2：年度内，及时受理率、按期答复率不低于95%，群众满意率力争达到80%以上。</w:t>
      </w:r>
    </w:p>
    <w:p>
      <w:pPr>
        <w:pStyle w:val="25"/>
      </w:pPr>
      <w:r>
        <w:t>（三）做好各重点敏感时期的信访维稳工作。科学谋划各卡点值班力量，加强驻京劝返工作力度，确保全国两会、旅游旺季、二十大等重要节点不发生进京赴省大规模上访，不发生因信访问题引发的群体性事件、极端恶性事件和媒体负面炒作，努力实现“北京不去、河北不聚”目标要求。</w:t>
      </w:r>
    </w:p>
    <w:p>
      <w:pPr>
        <w:pStyle w:val="25"/>
      </w:pPr>
      <w:r>
        <w:t>绩效目标1：进京赴省访同比大幅下降。</w:t>
      </w:r>
    </w:p>
    <w:p>
      <w:pPr>
        <w:pStyle w:val="25"/>
      </w:pPr>
      <w:r>
        <w:t>绩效指标1：进京赴省访总量同比下降幅度高于全市下降幅度。</w:t>
      </w:r>
    </w:p>
    <w:p>
      <w:pPr>
        <w:pStyle w:val="25"/>
      </w:pPr>
      <w:r>
        <w:t>绩效目标2：维护敏感时期社会稳定。</w:t>
      </w:r>
    </w:p>
    <w:p>
      <w:pPr>
        <w:pStyle w:val="25"/>
      </w:pPr>
      <w:r>
        <w:t>绩效指标2：做好各车站卡点和驻京值班劝返工作，全国两会及省市县两会</w:t>
      </w:r>
      <w:bookmarkStart w:id="20" w:name="_GoBack"/>
      <w:bookmarkEnd w:id="20"/>
      <w:r>
        <w:t>、旅游旺季、二十大等重要节点，不发生进京赴省大规模上访，不发生因信访问题引发的群体性事件、极端恶性事件和媒体负面炒作。</w:t>
      </w:r>
    </w:p>
    <w:p>
      <w:pPr>
        <w:spacing w:line="500" w:lineRule="exact"/>
        <w:ind w:firstLine="560"/>
      </w:pPr>
      <w:r>
        <w:rPr>
          <w:rFonts w:eastAsia="方正仿宋_GBK" w:cs="Times New Roman"/>
          <w:color w:val="000000"/>
          <w:sz w:val="28"/>
        </w:rPr>
        <w:t>（三）工作保障措施</w:t>
      </w:r>
    </w:p>
    <w:p>
      <w:pPr>
        <w:pStyle w:val="26"/>
      </w:pPr>
      <w:r>
        <w:t>（一）积极推进信访工作法治化。严格落实进京“非访”处置“六项机制”，按照省、市公检法司四部门印发的《指导意见》的规定，对信访活动中违法犯罪行为，协调公检法三部门依法加大打击力度，切实维护良好的信访秩序。</w:t>
      </w:r>
    </w:p>
    <w:p>
      <w:pPr>
        <w:pStyle w:val="26"/>
      </w:pPr>
      <w:r>
        <w:t>（二）严格落实公开接访机制。扎实做好县级党政领导定期接访、约访、下访工作，确保不脱岗、不漏岗，最大限度地吸附上访群众就地解决问题。</w:t>
      </w:r>
    </w:p>
    <w:p>
      <w:pPr>
        <w:pStyle w:val="26"/>
      </w:pPr>
      <w:r>
        <w:t>（三）大力推进“阳光信访”工程。将信访事项办理过程和结果交由群众评价，以公开促公正，倒逼信访事项办理质量提高，提升信访公信力，使信访事项按期结案率、息诉息访率和群众测评满意度稳步提高。</w:t>
      </w:r>
    </w:p>
    <w:p>
      <w:pPr>
        <w:pStyle w:val="26"/>
      </w:pPr>
      <w:r>
        <w:t>（四）全力做好敏感时期信访稳定工作。扎实做好2026年全国两会、省市县两会、旅游旺季、二十大等敏感时期信访稳定工作，成立专项工作组做好接劝返工作，确保2026年各敏感时期不发生进京赴省大规模上访，不发生因信访问题引发的群体性事件、极端恶性事件和媒体负面炒作。</w:t>
      </w:r>
    </w:p>
    <w:p>
      <w:pPr>
        <w:pStyle w:val="26"/>
      </w:pPr>
      <w:r>
        <w:t>（五）进一步加大重复进京赴省访治理工作。强化驻京劝返工作力度，安排重点乡镇驻京值班，统筹安排各车站卡点值班力量，全力降低我县进京赴省访数量。加大积案化解力度，扎实开展进京赴省重复访治理活动，下大力气消积案、减存量，力争积案归零、新案随清。</w:t>
      </w:r>
    </w:p>
    <w:p>
      <w:pPr>
        <w:pStyle w:val="26"/>
      </w:pPr>
      <w:r>
        <w:t>（六）坚持厉行节约。坚持厉行节约，反对铺张浪费，科学规范分配财政资金，提高财政资金使用效益，建设节约型机关。</w:t>
      </w:r>
    </w:p>
    <w:p>
      <w:pPr>
        <w:pStyle w:val="26"/>
      </w:pPr>
      <w:r>
        <w:t>（七）工作措施严格保障。为应对可能存在的问题和环境变化等趋势，采取措施预做准备，控制偏差，保证绩效目标实现，制定以下保障措施：</w:t>
      </w:r>
    </w:p>
    <w:p>
      <w:pPr>
        <w:pStyle w:val="26"/>
      </w:pPr>
      <w:r>
        <w:t>1、完善制度建设。健全完善预算绩效管理制度、资金管理办法、工作保障制度等内控管理办法，为全年预算绩效目标的实现奠定制度基础。</w:t>
      </w:r>
    </w:p>
    <w:p>
      <w:pPr>
        <w:pStyle w:val="26"/>
      </w:pPr>
      <w:r>
        <w:t>2、加强支出管理。通过优化支出结构、编细编实预算、尽快启动项目、及时支付资金、按规定及时下达资金等多种措施，确保支出进度达标。</w:t>
      </w:r>
    </w:p>
    <w:p>
      <w:pPr>
        <w:pStyle w:val="26"/>
      </w:pPr>
      <w:r>
        <w:t>3、加强绩效运行监控。按要求开展绩效运行监控，发现问题及时采取措施，确保绩效目标如期保质实现。</w:t>
      </w:r>
    </w:p>
    <w:p>
      <w:pPr>
        <w:pStyle w:val="26"/>
      </w:pPr>
      <w:r>
        <w:t>4、做好绩效自评。按要求开展上年度部门预算绩效自评和重点评价工作，对评价中发现的问题及时整改，调整优化支出结构，提高财政资金使用效益。</w:t>
      </w:r>
    </w:p>
    <w:p>
      <w:pPr>
        <w:pStyle w:val="26"/>
      </w:pPr>
      <w:r>
        <w:t>5、规范财务资产管理。完善财务管理制度，严格审批程序，加强固定资产登记、使用和报废处置管理，做到支出合理，物尽其用。</w:t>
      </w:r>
    </w:p>
    <w:p>
      <w:pPr>
        <w:pStyle w:val="26"/>
      </w:pPr>
      <w:r>
        <w:t>6、加强内部监督。加强内部监督制度建设，对绩效运行情况、重大支出决策、资产处置及其他重要事项的决策和执行进行督导，配合做好审计、财政监督等外部监督工作，确保财政资金安全有效。</w:t>
      </w:r>
    </w:p>
    <w:p>
      <w:pPr>
        <w:pStyle w:val="26"/>
        <w:sectPr>
          <w:pgSz w:w="16840" w:h="11900" w:orient="landscape"/>
          <w:pgMar w:top="1361" w:right="1020" w:bottom="1361" w:left="1020" w:header="720" w:footer="720" w:gutter="0"/>
          <w:cols w:space="720" w:num="1"/>
        </w:sectPr>
      </w:pPr>
      <w:r>
        <w:t>7、加强宣传培训调研。加强人员培训，提高职工业务素质；优化财政资金配置、提高资金使用效益；强化预算绩效管理意识，促进预算绩效管理水平进一步提升。</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 xml:space="preserve">    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1、劳务派遣人员工资绩效目标表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13032226P00233310076U</w:t>
            </w:r>
          </w:p>
        </w:tc>
        <w:tc>
          <w:tcPr>
            <w:tcW w:w="2835" w:type="dxa"/>
            <w:vAlign w:val="center"/>
          </w:tcPr>
          <w:p>
            <w:pPr>
              <w:pStyle w:val="13"/>
            </w:pPr>
            <w:r>
              <w:t>项目名称</w:t>
            </w:r>
          </w:p>
        </w:tc>
        <w:tc>
          <w:tcPr>
            <w:tcW w:w="6095" w:type="dxa"/>
            <w:gridSpan w:val="3"/>
            <w:vAlign w:val="center"/>
          </w:tcPr>
          <w:p>
            <w:pPr>
              <w:pStyle w:val="15"/>
            </w:pPr>
            <w:r>
              <w:t>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62.52</w:t>
            </w:r>
          </w:p>
        </w:tc>
        <w:tc>
          <w:tcPr>
            <w:tcW w:w="2835" w:type="dxa"/>
            <w:vAlign w:val="center"/>
          </w:tcPr>
          <w:p>
            <w:pPr>
              <w:pStyle w:val="13"/>
            </w:pPr>
            <w:r>
              <w:t>其中：财政    资金</w:t>
            </w:r>
          </w:p>
        </w:tc>
        <w:tc>
          <w:tcPr>
            <w:tcW w:w="2551" w:type="dxa"/>
            <w:vAlign w:val="center"/>
          </w:tcPr>
          <w:p>
            <w:pPr>
              <w:pStyle w:val="15"/>
            </w:pPr>
            <w:r>
              <w:t>62.52</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保证人员工资按时发放，确保机关单位正常运转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1.保证人员工资按时发放，确保机关单位正常运转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成本指标</w:t>
            </w:r>
          </w:p>
        </w:tc>
        <w:tc>
          <w:tcPr>
            <w:tcW w:w="2835" w:type="dxa"/>
            <w:vAlign w:val="center"/>
          </w:tcPr>
          <w:p>
            <w:pPr>
              <w:pStyle w:val="15"/>
            </w:pPr>
            <w:r>
              <w:t>职工取暖费补助标准</w:t>
            </w:r>
          </w:p>
        </w:tc>
        <w:tc>
          <w:tcPr>
            <w:tcW w:w="5386" w:type="dxa"/>
            <w:vAlign w:val="center"/>
          </w:tcPr>
          <w:p>
            <w:pPr>
              <w:pStyle w:val="15"/>
            </w:pPr>
            <w:r>
              <w:t>职工住宅取暖补贴的年补助标准</w:t>
            </w:r>
          </w:p>
        </w:tc>
        <w:tc>
          <w:tcPr>
            <w:tcW w:w="2268" w:type="dxa"/>
            <w:vAlign w:val="center"/>
          </w:tcPr>
          <w:p>
            <w:pPr>
              <w:pStyle w:val="15"/>
            </w:pPr>
            <w:r>
              <w:t>2500元</w:t>
            </w:r>
          </w:p>
        </w:tc>
        <w:tc>
          <w:tcPr>
            <w:tcW w:w="1276" w:type="dxa"/>
            <w:vAlign w:val="center"/>
          </w:tcPr>
          <w:p>
            <w:pPr>
              <w:pStyle w:val="15"/>
            </w:pPr>
            <w:r>
              <w:t>取暖费补助标准（昌财[2018]41号）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支付及时率</w:t>
            </w:r>
          </w:p>
        </w:tc>
        <w:tc>
          <w:tcPr>
            <w:tcW w:w="5386" w:type="dxa"/>
            <w:vAlign w:val="center"/>
          </w:tcPr>
          <w:p>
            <w:pPr>
              <w:pStyle w:val="15"/>
            </w:pPr>
            <w:r>
              <w:t>人员经费发放及时率</w:t>
            </w:r>
          </w:p>
        </w:tc>
        <w:tc>
          <w:tcPr>
            <w:tcW w:w="2268" w:type="dxa"/>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人员经费到位率</w:t>
            </w:r>
          </w:p>
        </w:tc>
        <w:tc>
          <w:tcPr>
            <w:tcW w:w="5386" w:type="dxa"/>
            <w:vAlign w:val="center"/>
          </w:tcPr>
          <w:p>
            <w:pPr>
              <w:pStyle w:val="15"/>
            </w:pPr>
            <w:r>
              <w:t>人员经费到位资金的比例</w:t>
            </w:r>
          </w:p>
        </w:tc>
        <w:tc>
          <w:tcPr>
            <w:tcW w:w="2268" w:type="dxa"/>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住宅取暖补贴领取人数</w:t>
            </w:r>
          </w:p>
        </w:tc>
        <w:tc>
          <w:tcPr>
            <w:tcW w:w="5386" w:type="dxa"/>
            <w:vAlign w:val="center"/>
          </w:tcPr>
          <w:p>
            <w:pPr>
              <w:pStyle w:val="15"/>
            </w:pPr>
            <w:r>
              <w:t>单位领取住宅取费补贴的人数</w:t>
            </w:r>
          </w:p>
        </w:tc>
        <w:tc>
          <w:tcPr>
            <w:tcW w:w="2268" w:type="dxa"/>
            <w:vAlign w:val="center"/>
          </w:tcPr>
          <w:p>
            <w:pPr>
              <w:pStyle w:val="15"/>
            </w:pPr>
            <w:r>
              <w:t>9人</w:t>
            </w:r>
          </w:p>
        </w:tc>
        <w:tc>
          <w:tcPr>
            <w:tcW w:w="1276" w:type="dxa"/>
            <w:vAlign w:val="center"/>
          </w:tcPr>
          <w:p>
            <w:pPr>
              <w:pStyle w:val="15"/>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提高财政资金的使用效率</w:t>
            </w:r>
          </w:p>
        </w:tc>
        <w:tc>
          <w:tcPr>
            <w:tcW w:w="5386" w:type="dxa"/>
            <w:vAlign w:val="center"/>
          </w:tcPr>
          <w:p>
            <w:pPr>
              <w:pStyle w:val="15"/>
            </w:pPr>
            <w:r>
              <w:t>通过科学编制预算，严格遵守各项规章制度，提高财政资金的使用效率，做到节俭高效。</w:t>
            </w:r>
          </w:p>
        </w:tc>
        <w:tc>
          <w:tcPr>
            <w:tcW w:w="2268" w:type="dxa"/>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保持工作稳定、持续开展实现率</w:t>
            </w:r>
          </w:p>
        </w:tc>
        <w:tc>
          <w:tcPr>
            <w:tcW w:w="5386" w:type="dxa"/>
            <w:vAlign w:val="center"/>
          </w:tcPr>
          <w:p>
            <w:pPr>
              <w:pStyle w:val="15"/>
            </w:pPr>
            <w:r>
              <w:t>有效保证业务工作顺利开展</w:t>
            </w:r>
          </w:p>
        </w:tc>
        <w:tc>
          <w:tcPr>
            <w:tcW w:w="2268" w:type="dxa"/>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降低能耗</w:t>
            </w:r>
          </w:p>
        </w:tc>
        <w:tc>
          <w:tcPr>
            <w:tcW w:w="5386" w:type="dxa"/>
            <w:vAlign w:val="center"/>
          </w:tcPr>
          <w:p>
            <w:pPr>
              <w:pStyle w:val="15"/>
            </w:pPr>
            <w:r>
              <w:t>厉行节约，降低能耗，实现绿色办公</w:t>
            </w:r>
          </w:p>
        </w:tc>
        <w:tc>
          <w:tcPr>
            <w:tcW w:w="2268" w:type="dxa"/>
            <w:vAlign w:val="center"/>
          </w:tcPr>
          <w:p>
            <w:pPr>
              <w:pStyle w:val="15"/>
            </w:pPr>
            <w:r>
              <w:t>较上年降低</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业务工作可持续性</w:t>
            </w:r>
          </w:p>
        </w:tc>
        <w:tc>
          <w:tcPr>
            <w:tcW w:w="5386" w:type="dxa"/>
            <w:vAlign w:val="center"/>
          </w:tcPr>
          <w:p>
            <w:pPr>
              <w:pStyle w:val="15"/>
            </w:pPr>
            <w:r>
              <w:t>保障日常工作的有序运转年限</w:t>
            </w:r>
          </w:p>
        </w:tc>
        <w:tc>
          <w:tcPr>
            <w:tcW w:w="2268" w:type="dxa"/>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服务对象满意度指标</w:t>
            </w:r>
          </w:p>
        </w:tc>
        <w:tc>
          <w:tcPr>
            <w:tcW w:w="5386" w:type="dxa"/>
            <w:vAlign w:val="center"/>
          </w:tcPr>
          <w:p>
            <w:pPr>
              <w:pStyle w:val="15"/>
            </w:pPr>
            <w:r>
              <w:t>通过问卷调查，满意和较满意的受益对象占全部调研对象的比例</w:t>
            </w:r>
          </w:p>
        </w:tc>
        <w:tc>
          <w:tcPr>
            <w:tcW w:w="2268" w:type="dxa"/>
            <w:vAlign w:val="center"/>
          </w:tcPr>
          <w:p>
            <w:pPr>
              <w:pStyle w:val="15"/>
            </w:pPr>
            <w:r>
              <w:t>≥95%</w:t>
            </w:r>
          </w:p>
        </w:tc>
        <w:tc>
          <w:tcPr>
            <w:tcW w:w="1276" w:type="dxa"/>
            <w:vAlign w:val="center"/>
          </w:tcPr>
          <w:p>
            <w:pPr>
              <w:pStyle w:val="15"/>
            </w:pPr>
            <w:r>
              <w:t>历史经验</w:t>
            </w:r>
          </w:p>
        </w:tc>
      </w:tr>
    </w:tbl>
    <w:p>
      <w:pPr>
        <w:sectPr>
          <w:type w:val="continuous"/>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501昌黎县信访局</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s="Times New Roman"/>
          <w:color w:val="000000"/>
          <w:sz w:val="28"/>
        </w:rPr>
        <w:t>昌黎县信访局（含所属单位）上年末固定资产金额为172.04万元（详见下表）。本年度拟购置固定资产总额为0.00万元，已按要求列入政府采购预算，详见政府采购预算表。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501昌黎县信访局</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172.04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r>
              <w:t>500</w:t>
            </w:r>
          </w:p>
        </w:tc>
        <w:tc>
          <w:tcPr>
            <w:tcW w:w="2835" w:type="dxa"/>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r>
              <w:t>500</w:t>
            </w:r>
          </w:p>
        </w:tc>
        <w:tc>
          <w:tcPr>
            <w:tcW w:w="2835" w:type="dxa"/>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1</w:t>
            </w:r>
          </w:p>
        </w:tc>
        <w:tc>
          <w:tcPr>
            <w:tcW w:w="2835" w:type="dxa"/>
            <w:vAlign w:val="center"/>
          </w:tcPr>
          <w:p>
            <w:pPr>
              <w:pStyle w:val="14"/>
            </w:pPr>
            <w:r>
              <w:t>21.69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195</w:t>
            </w:r>
          </w:p>
        </w:tc>
        <w:tc>
          <w:tcPr>
            <w:tcW w:w="2835" w:type="dxa"/>
            <w:vAlign w:val="center"/>
          </w:tcPr>
          <w:p>
            <w:pPr>
              <w:pStyle w:val="14"/>
            </w:pPr>
            <w:r>
              <w:t>130.35</w:t>
            </w:r>
          </w:p>
        </w:tc>
      </w:tr>
    </w:tbl>
    <w:p>
      <w:pPr>
        <w:ind w:firstLine="640"/>
      </w:pPr>
      <w:r>
        <w:rPr>
          <w:rFonts w:eastAsia="方正仿宋_GBK" w:cs="Times New Roman"/>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BB482B"/>
    <w:rsid w:val="008839A2"/>
    <w:rsid w:val="00BB482B"/>
    <w:rsid w:val="054D054F"/>
    <w:rsid w:val="455136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29"/>
    <w:semiHidden/>
    <w:unhideWhenUsed/>
    <w:qFormat/>
    <w:uiPriority w:val="99"/>
    <w:pPr>
      <w:tabs>
        <w:tab w:val="center" w:pos="4153"/>
        <w:tab w:val="right" w:pos="8306"/>
      </w:tabs>
      <w:snapToGrid w:val="0"/>
    </w:pPr>
    <w:rPr>
      <w:sz w:val="18"/>
      <w:szCs w:val="18"/>
    </w:rPr>
  </w:style>
  <w:style w:type="paragraph" w:styleId="4">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2"/>
    <w:basedOn w:val="1"/>
    <w:next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7">
    <w:name w:val="单元格样式23"/>
    <w:qFormat/>
    <w:uiPriority w:val="0"/>
    <w:pPr>
      <w:jc w:val="right"/>
    </w:pPr>
    <w:rPr>
      <w:rFonts w:ascii="方正书宋_GBK" w:hAnsi="方正书宋_GBK" w:eastAsia="方正书宋_GBK" w:cs="方正书宋_GBK"/>
      <w:sz w:val="24"/>
      <w:szCs w:val="22"/>
      <w:lang w:val="en-US" w:eastAsia="zh-CN" w:bidi="ar-SA"/>
    </w:rPr>
  </w:style>
  <w:style w:type="character" w:customStyle="1" w:styleId="28">
    <w:name w:val="页眉 Char"/>
    <w:basedOn w:val="9"/>
    <w:link w:val="4"/>
    <w:semiHidden/>
    <w:uiPriority w:val="99"/>
    <w:rPr>
      <w:rFonts w:ascii="Times New Roman" w:hAnsi="Times New Roman"/>
      <w:sz w:val="18"/>
      <w:szCs w:val="18"/>
      <w:lang w:eastAsia="uk-UA"/>
    </w:rPr>
  </w:style>
  <w:style w:type="character" w:customStyle="1" w:styleId="29">
    <w:name w:val="页脚 Char"/>
    <w:basedOn w:val="9"/>
    <w:link w:val="3"/>
    <w:semiHidden/>
    <w:uiPriority w:val="99"/>
    <w:rPr>
      <w:rFonts w:ascii="Times New Roman" w:hAnsi="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1910</Words>
  <Characters>10890</Characters>
  <Lines>90</Lines>
  <Paragraphs>25</Paragraphs>
  <TotalTime>1</TotalTime>
  <ScaleCrop>false</ScaleCrop>
  <LinksUpToDate>false</LinksUpToDate>
  <CharactersWithSpaces>12775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27590</dc:creator>
  <cp:lastModifiedBy>Administrator</cp:lastModifiedBy>
  <dcterms:modified xsi:type="dcterms:W3CDTF">2026-02-09T00:59:03Z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60F0F31D9DE94BCD891B8EA19B14D177</vt:lpwstr>
  </property>
</Properties>
</file>