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1434.00</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r>
              <w:t>120.00</w:t>
            </w: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r>
              <w:t>1554.00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1554.00</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1554.00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1554.00</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1554.00</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1554.00</w:t>
            </w:r>
          </w:p>
        </w:tc>
        <w:tc>
          <w:tcPr>
            <w:tcW w:w="1134" w:type="dxa"/>
            <w:tcBorders>
              <w:top w:val="single" w:color="000000" w:sz="6" w:space="0"/>
              <w:left w:val="single" w:color="000000" w:sz="6" w:space="0"/>
              <w:right w:val="single" w:color="000000" w:sz="6" w:space="0"/>
            </w:tcBorders>
            <w:vAlign w:val="center"/>
          </w:tcPr>
          <w:p>
            <w:pPr>
              <w:pStyle w:val="15"/>
            </w:pPr>
            <w:r>
              <w:t>1554.00</w:t>
            </w:r>
          </w:p>
        </w:tc>
        <w:tc>
          <w:tcPr>
            <w:tcW w:w="1134" w:type="dxa"/>
            <w:tcBorders>
              <w:top w:val="single" w:color="000000" w:sz="6" w:space="0"/>
              <w:left w:val="single" w:color="000000" w:sz="6" w:space="0"/>
              <w:right w:val="single" w:color="000000" w:sz="6" w:space="0"/>
            </w:tcBorders>
            <w:vAlign w:val="center"/>
          </w:tcPr>
          <w:p>
            <w:pPr>
              <w:pStyle w:val="15"/>
            </w:pPr>
            <w:r>
              <w:t>1434.00</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r>
              <w:t>120.00</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1559"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1554.00</w:t>
            </w:r>
          </w:p>
        </w:tc>
        <w:tc>
          <w:tcPr>
            <w:tcW w:w="1134" w:type="dxa"/>
            <w:tcBorders>
              <w:top w:val="single" w:color="000000" w:sz="6" w:space="0"/>
              <w:left w:val="single" w:color="000000" w:sz="6" w:space="0"/>
              <w:right w:val="single" w:color="000000" w:sz="6" w:space="0"/>
            </w:tcBorders>
            <w:vAlign w:val="center"/>
          </w:tcPr>
          <w:p>
            <w:pPr>
              <w:pStyle w:val="11"/>
            </w:pPr>
            <w:r>
              <w:t>1554.00</w:t>
            </w:r>
          </w:p>
        </w:tc>
        <w:tc>
          <w:tcPr>
            <w:tcW w:w="1134" w:type="dxa"/>
            <w:tcBorders>
              <w:top w:val="single" w:color="000000" w:sz="6" w:space="0"/>
              <w:left w:val="single" w:color="000000" w:sz="6" w:space="0"/>
              <w:right w:val="single" w:color="000000" w:sz="6" w:space="0"/>
            </w:tcBorders>
            <w:vAlign w:val="center"/>
          </w:tcPr>
          <w:p>
            <w:pPr>
              <w:pStyle w:val="11"/>
            </w:pPr>
            <w:r>
              <w:t>1434.00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120.00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20708</w:t>
            </w:r>
          </w:p>
        </w:tc>
        <w:tc>
          <w:tcPr>
            <w:tcW w:w="1559" w:type="dxa"/>
            <w:tcBorders>
              <w:top w:val="single" w:color="000000" w:sz="6" w:space="0"/>
              <w:left w:val="single" w:color="000000" w:sz="6" w:space="0"/>
              <w:right w:val="single" w:color="000000" w:sz="6" w:space="0"/>
            </w:tcBorders>
            <w:vAlign w:val="center"/>
          </w:tcPr>
          <w:p>
            <w:pPr>
              <w:pStyle w:val="12"/>
            </w:pPr>
            <w:r>
              <w:t>广播电视</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1430.00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120.00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2070899</w:t>
            </w:r>
          </w:p>
        </w:tc>
        <w:tc>
          <w:tcPr>
            <w:tcW w:w="1559" w:type="dxa"/>
            <w:tcBorders>
              <w:top w:val="single" w:color="000000" w:sz="6" w:space="0"/>
              <w:left w:val="single" w:color="000000" w:sz="6" w:space="0"/>
              <w:right w:val="single" w:color="000000" w:sz="6" w:space="0"/>
            </w:tcBorders>
            <w:vAlign w:val="center"/>
          </w:tcPr>
          <w:p>
            <w:pPr>
              <w:pStyle w:val="12"/>
            </w:pPr>
            <w:r>
              <w:t>其他广播电视支出</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1550.00</w:t>
            </w:r>
          </w:p>
        </w:tc>
        <w:tc>
          <w:tcPr>
            <w:tcW w:w="1134" w:type="dxa"/>
            <w:tcBorders>
              <w:top w:val="single" w:color="000000" w:sz="6" w:space="0"/>
              <w:left w:val="single" w:color="000000" w:sz="6" w:space="0"/>
              <w:right w:val="single" w:color="000000" w:sz="6" w:space="0"/>
            </w:tcBorders>
            <w:vAlign w:val="center"/>
          </w:tcPr>
          <w:p>
            <w:pPr>
              <w:pStyle w:val="11"/>
            </w:pPr>
            <w:r>
              <w:t>1430.00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r>
              <w:t>120.00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20799</w:t>
            </w:r>
          </w:p>
        </w:tc>
        <w:tc>
          <w:tcPr>
            <w:tcW w:w="1559"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2079999</w:t>
            </w:r>
          </w:p>
        </w:tc>
        <w:tc>
          <w:tcPr>
            <w:tcW w:w="1559"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r>
              <w:t>4.00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1554.00</w:t>
            </w:r>
          </w:p>
        </w:tc>
        <w:tc>
          <w:tcPr>
            <w:tcW w:w="1361" w:type="dxa"/>
            <w:tcBorders>
              <w:top w:val="single" w:color="000000" w:sz="6" w:space="0"/>
              <w:left w:val="single" w:color="000000" w:sz="6" w:space="0"/>
              <w:right w:val="single" w:color="000000" w:sz="6" w:space="0"/>
            </w:tcBorders>
            <w:vAlign w:val="center"/>
          </w:tcPr>
          <w:p>
            <w:pPr>
              <w:pStyle w:val="15"/>
            </w:pPr>
            <w:r>
              <w:t>1505.40</w:t>
            </w:r>
          </w:p>
        </w:tc>
        <w:tc>
          <w:tcPr>
            <w:tcW w:w="1361" w:type="dxa"/>
            <w:tcBorders>
              <w:top w:val="single" w:color="000000" w:sz="6" w:space="0"/>
              <w:left w:val="single" w:color="000000" w:sz="6" w:space="0"/>
              <w:right w:val="single" w:color="000000" w:sz="6" w:space="0"/>
            </w:tcBorders>
            <w:vAlign w:val="center"/>
          </w:tcPr>
          <w:p>
            <w:pPr>
              <w:pStyle w:val="15"/>
            </w:pPr>
            <w:r>
              <w:t>48.60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1554.00</w:t>
            </w:r>
          </w:p>
        </w:tc>
        <w:tc>
          <w:tcPr>
            <w:tcW w:w="1361" w:type="dxa"/>
            <w:tcBorders>
              <w:top w:val="single" w:color="000000" w:sz="6" w:space="0"/>
              <w:left w:val="single" w:color="000000" w:sz="6" w:space="0"/>
              <w:right w:val="single" w:color="000000" w:sz="6" w:space="0"/>
            </w:tcBorders>
            <w:vAlign w:val="center"/>
          </w:tcPr>
          <w:p>
            <w:pPr>
              <w:pStyle w:val="11"/>
            </w:pPr>
            <w:r>
              <w:t>1505.40</w:t>
            </w:r>
          </w:p>
        </w:tc>
        <w:tc>
          <w:tcPr>
            <w:tcW w:w="1361" w:type="dxa"/>
            <w:tcBorders>
              <w:top w:val="single" w:color="000000" w:sz="6" w:space="0"/>
              <w:left w:val="single" w:color="000000" w:sz="6" w:space="0"/>
              <w:right w:val="single" w:color="000000" w:sz="6" w:space="0"/>
            </w:tcBorders>
            <w:vAlign w:val="center"/>
          </w:tcPr>
          <w:p>
            <w:pPr>
              <w:pStyle w:val="11"/>
            </w:pPr>
            <w:r>
              <w:t>48.60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20708</w:t>
            </w:r>
          </w:p>
        </w:tc>
        <w:tc>
          <w:tcPr>
            <w:tcW w:w="4535" w:type="dxa"/>
            <w:tcBorders>
              <w:top w:val="single" w:color="000000" w:sz="6" w:space="0"/>
              <w:left w:val="single" w:color="000000" w:sz="6" w:space="0"/>
              <w:right w:val="single" w:color="000000" w:sz="6" w:space="0"/>
            </w:tcBorders>
            <w:vAlign w:val="center"/>
          </w:tcPr>
          <w:p>
            <w:pPr>
              <w:pStyle w:val="12"/>
            </w:pPr>
            <w:r>
              <w:t>广播电视</w:t>
            </w:r>
          </w:p>
        </w:tc>
        <w:tc>
          <w:tcPr>
            <w:tcW w:w="1361" w:type="dxa"/>
            <w:tcBorders>
              <w:top w:val="single" w:color="000000" w:sz="6" w:space="0"/>
              <w:left w:val="single" w:color="000000" w:sz="6" w:space="0"/>
              <w:right w:val="single" w:color="000000" w:sz="6" w:space="0"/>
            </w:tcBorders>
            <w:vAlign w:val="center"/>
          </w:tcPr>
          <w:p>
            <w:pPr>
              <w:pStyle w:val="11"/>
            </w:pPr>
            <w:r>
              <w:t>1550.00</w:t>
            </w:r>
          </w:p>
        </w:tc>
        <w:tc>
          <w:tcPr>
            <w:tcW w:w="1361" w:type="dxa"/>
            <w:tcBorders>
              <w:top w:val="single" w:color="000000" w:sz="6" w:space="0"/>
              <w:left w:val="single" w:color="000000" w:sz="6" w:space="0"/>
              <w:right w:val="single" w:color="000000" w:sz="6" w:space="0"/>
            </w:tcBorders>
            <w:vAlign w:val="center"/>
          </w:tcPr>
          <w:p>
            <w:pPr>
              <w:pStyle w:val="11"/>
            </w:pPr>
            <w:r>
              <w:t>1505.40</w:t>
            </w:r>
          </w:p>
        </w:tc>
        <w:tc>
          <w:tcPr>
            <w:tcW w:w="1361" w:type="dxa"/>
            <w:tcBorders>
              <w:top w:val="single" w:color="000000" w:sz="6" w:space="0"/>
              <w:left w:val="single" w:color="000000" w:sz="6" w:space="0"/>
              <w:right w:val="single" w:color="000000" w:sz="6" w:space="0"/>
            </w:tcBorders>
            <w:vAlign w:val="center"/>
          </w:tcPr>
          <w:p>
            <w:pPr>
              <w:pStyle w:val="11"/>
            </w:pPr>
            <w:r>
              <w:t>44.60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2070899</w:t>
            </w:r>
          </w:p>
        </w:tc>
        <w:tc>
          <w:tcPr>
            <w:tcW w:w="4535" w:type="dxa"/>
            <w:tcBorders>
              <w:top w:val="single" w:color="000000" w:sz="6" w:space="0"/>
              <w:left w:val="single" w:color="000000" w:sz="6" w:space="0"/>
              <w:right w:val="single" w:color="000000" w:sz="6" w:space="0"/>
            </w:tcBorders>
            <w:vAlign w:val="center"/>
          </w:tcPr>
          <w:p>
            <w:pPr>
              <w:pStyle w:val="12"/>
            </w:pPr>
            <w:r>
              <w:t>其他广播电视支出</w:t>
            </w:r>
          </w:p>
        </w:tc>
        <w:tc>
          <w:tcPr>
            <w:tcW w:w="1361" w:type="dxa"/>
            <w:tcBorders>
              <w:top w:val="single" w:color="000000" w:sz="6" w:space="0"/>
              <w:left w:val="single" w:color="000000" w:sz="6" w:space="0"/>
              <w:right w:val="single" w:color="000000" w:sz="6" w:space="0"/>
            </w:tcBorders>
            <w:vAlign w:val="center"/>
          </w:tcPr>
          <w:p>
            <w:pPr>
              <w:pStyle w:val="11"/>
            </w:pPr>
            <w:r>
              <w:t>1550.00</w:t>
            </w:r>
          </w:p>
        </w:tc>
        <w:tc>
          <w:tcPr>
            <w:tcW w:w="1361" w:type="dxa"/>
            <w:tcBorders>
              <w:top w:val="single" w:color="000000" w:sz="6" w:space="0"/>
              <w:left w:val="single" w:color="000000" w:sz="6" w:space="0"/>
              <w:right w:val="single" w:color="000000" w:sz="6" w:space="0"/>
            </w:tcBorders>
            <w:vAlign w:val="center"/>
          </w:tcPr>
          <w:p>
            <w:pPr>
              <w:pStyle w:val="11"/>
            </w:pPr>
            <w:r>
              <w:t>1505.40</w:t>
            </w:r>
          </w:p>
        </w:tc>
        <w:tc>
          <w:tcPr>
            <w:tcW w:w="1361" w:type="dxa"/>
            <w:tcBorders>
              <w:top w:val="single" w:color="000000" w:sz="6" w:space="0"/>
              <w:left w:val="single" w:color="000000" w:sz="6" w:space="0"/>
              <w:right w:val="single" w:color="000000" w:sz="6" w:space="0"/>
            </w:tcBorders>
            <w:vAlign w:val="center"/>
          </w:tcPr>
          <w:p>
            <w:pPr>
              <w:pStyle w:val="11"/>
            </w:pPr>
            <w:r>
              <w:t>44.60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20799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2079999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4.00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1434.00</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r>
              <w:t>1434.00</w:t>
            </w:r>
          </w:p>
        </w:tc>
        <w:tc>
          <w:tcPr>
            <w:tcW w:w="1474" w:type="dxa"/>
            <w:tcBorders>
              <w:top w:val="single" w:color="000000" w:sz="6" w:space="0"/>
              <w:left w:val="single" w:color="000000" w:sz="6" w:space="0"/>
              <w:right w:val="single" w:color="000000" w:sz="6" w:space="0"/>
            </w:tcBorders>
            <w:vAlign w:val="center"/>
          </w:tcPr>
          <w:p>
            <w:pPr>
              <w:pStyle w:val="11"/>
            </w:pPr>
            <w:r>
              <w:t>1434.00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r>
              <w:t>1434.00</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1434.00</w:t>
            </w:r>
          </w:p>
        </w:tc>
        <w:tc>
          <w:tcPr>
            <w:tcW w:w="2551" w:type="dxa"/>
            <w:tcBorders>
              <w:top w:val="single" w:color="000000" w:sz="6" w:space="0"/>
              <w:left w:val="single" w:color="000000" w:sz="6" w:space="0"/>
              <w:right w:val="single" w:color="000000" w:sz="6" w:space="0"/>
            </w:tcBorders>
            <w:vAlign w:val="center"/>
          </w:tcPr>
          <w:p>
            <w:pPr>
              <w:pStyle w:val="15"/>
            </w:pPr>
            <w:r>
              <w:t>1385.40</w:t>
            </w:r>
          </w:p>
        </w:tc>
        <w:tc>
          <w:tcPr>
            <w:tcW w:w="2551" w:type="dxa"/>
            <w:vAlign w:val="center"/>
          </w:tcPr>
          <w:p>
            <w:pPr>
              <w:pStyle w:val="15"/>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1434.00</w:t>
            </w:r>
          </w:p>
        </w:tc>
        <w:tc>
          <w:tcPr>
            <w:tcW w:w="2551" w:type="dxa"/>
            <w:tcBorders>
              <w:top w:val="single" w:color="000000" w:sz="6" w:space="0"/>
              <w:left w:val="single" w:color="000000" w:sz="6" w:space="0"/>
              <w:right w:val="single" w:color="000000" w:sz="6" w:space="0"/>
            </w:tcBorders>
            <w:vAlign w:val="center"/>
          </w:tcPr>
          <w:p>
            <w:pPr>
              <w:pStyle w:val="11"/>
            </w:pPr>
            <w:r>
              <w:t>1385.40</w:t>
            </w:r>
          </w:p>
        </w:tc>
        <w:tc>
          <w:tcPr>
            <w:tcW w:w="2551"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20708</w:t>
            </w:r>
          </w:p>
        </w:tc>
        <w:tc>
          <w:tcPr>
            <w:tcW w:w="4535" w:type="dxa"/>
            <w:tcBorders>
              <w:top w:val="single" w:color="000000" w:sz="6" w:space="0"/>
              <w:left w:val="single" w:color="000000" w:sz="6" w:space="0"/>
              <w:right w:val="single" w:color="000000" w:sz="6" w:space="0"/>
            </w:tcBorders>
            <w:vAlign w:val="center"/>
          </w:tcPr>
          <w:p>
            <w:pPr>
              <w:pStyle w:val="12"/>
            </w:pPr>
            <w:r>
              <w:t>广播电视</w:t>
            </w:r>
          </w:p>
        </w:tc>
        <w:tc>
          <w:tcPr>
            <w:tcW w:w="2551" w:type="dxa"/>
            <w:tcBorders>
              <w:top w:val="single" w:color="000000" w:sz="6" w:space="0"/>
              <w:left w:val="single" w:color="000000" w:sz="6" w:space="0"/>
              <w:right w:val="single" w:color="000000" w:sz="6" w:space="0"/>
            </w:tcBorders>
            <w:vAlign w:val="center"/>
          </w:tcPr>
          <w:p>
            <w:pPr>
              <w:pStyle w:val="11"/>
            </w:pPr>
            <w:r>
              <w:t>1430.00</w:t>
            </w:r>
          </w:p>
        </w:tc>
        <w:tc>
          <w:tcPr>
            <w:tcW w:w="2551" w:type="dxa"/>
            <w:tcBorders>
              <w:top w:val="single" w:color="000000" w:sz="6" w:space="0"/>
              <w:left w:val="single" w:color="000000" w:sz="6" w:space="0"/>
              <w:right w:val="single" w:color="000000" w:sz="6" w:space="0"/>
            </w:tcBorders>
            <w:vAlign w:val="center"/>
          </w:tcPr>
          <w:p>
            <w:pPr>
              <w:pStyle w:val="11"/>
            </w:pPr>
            <w:r>
              <w:t>1385.40</w:t>
            </w:r>
          </w:p>
        </w:tc>
        <w:tc>
          <w:tcPr>
            <w:tcW w:w="2551" w:type="dxa"/>
            <w:vAlign w:val="center"/>
          </w:tcPr>
          <w:p>
            <w:pPr>
              <w:pStyle w:val="11"/>
            </w:pPr>
            <w:r>
              <w:t>44.60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2070899</w:t>
            </w:r>
          </w:p>
        </w:tc>
        <w:tc>
          <w:tcPr>
            <w:tcW w:w="4535" w:type="dxa"/>
            <w:tcBorders>
              <w:top w:val="single" w:color="000000" w:sz="6" w:space="0"/>
              <w:left w:val="single" w:color="000000" w:sz="6" w:space="0"/>
              <w:right w:val="single" w:color="000000" w:sz="6" w:space="0"/>
            </w:tcBorders>
            <w:vAlign w:val="center"/>
          </w:tcPr>
          <w:p>
            <w:pPr>
              <w:pStyle w:val="12"/>
            </w:pPr>
            <w:r>
              <w:t>其他广播电视支出</w:t>
            </w:r>
          </w:p>
        </w:tc>
        <w:tc>
          <w:tcPr>
            <w:tcW w:w="2551" w:type="dxa"/>
            <w:tcBorders>
              <w:top w:val="single" w:color="000000" w:sz="6" w:space="0"/>
              <w:left w:val="single" w:color="000000" w:sz="6" w:space="0"/>
              <w:right w:val="single" w:color="000000" w:sz="6" w:space="0"/>
            </w:tcBorders>
            <w:vAlign w:val="center"/>
          </w:tcPr>
          <w:p>
            <w:pPr>
              <w:pStyle w:val="11"/>
            </w:pPr>
            <w:r>
              <w:t>1430.00</w:t>
            </w:r>
          </w:p>
        </w:tc>
        <w:tc>
          <w:tcPr>
            <w:tcW w:w="2551" w:type="dxa"/>
            <w:tcBorders>
              <w:top w:val="single" w:color="000000" w:sz="6" w:space="0"/>
              <w:left w:val="single" w:color="000000" w:sz="6" w:space="0"/>
              <w:right w:val="single" w:color="000000" w:sz="6" w:space="0"/>
            </w:tcBorders>
            <w:vAlign w:val="center"/>
          </w:tcPr>
          <w:p>
            <w:pPr>
              <w:pStyle w:val="11"/>
            </w:pPr>
            <w:r>
              <w:t>1385.40</w:t>
            </w:r>
          </w:p>
        </w:tc>
        <w:tc>
          <w:tcPr>
            <w:tcW w:w="2551" w:type="dxa"/>
            <w:vAlign w:val="center"/>
          </w:tcPr>
          <w:p>
            <w:pPr>
              <w:pStyle w:val="11"/>
            </w:pPr>
            <w:r>
              <w:t>44.60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20799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2079999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4.00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4.00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1385.40</w:t>
            </w:r>
          </w:p>
        </w:tc>
        <w:tc>
          <w:tcPr>
            <w:tcW w:w="2551" w:type="dxa"/>
            <w:tcBorders>
              <w:top w:val="single" w:color="000000" w:sz="6" w:space="0"/>
              <w:left w:val="single" w:color="000000" w:sz="6" w:space="0"/>
              <w:right w:val="single" w:color="000000" w:sz="6" w:space="0"/>
            </w:tcBorders>
            <w:vAlign w:val="center"/>
          </w:tcPr>
          <w:p>
            <w:pPr>
              <w:pStyle w:val="15"/>
            </w:pPr>
            <w:r>
              <w:t>1377.95</w:t>
            </w:r>
          </w:p>
        </w:tc>
        <w:tc>
          <w:tcPr>
            <w:tcW w:w="2551" w:type="dxa"/>
            <w:vAlign w:val="center"/>
          </w:tcPr>
          <w:p>
            <w:pPr>
              <w:pStyle w:val="15"/>
            </w:pPr>
            <w:r>
              <w:t>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1282.93</w:t>
            </w:r>
          </w:p>
        </w:tc>
        <w:tc>
          <w:tcPr>
            <w:tcW w:w="2551" w:type="dxa"/>
            <w:tcBorders>
              <w:top w:val="single" w:color="000000" w:sz="6" w:space="0"/>
              <w:left w:val="single" w:color="000000" w:sz="6" w:space="0"/>
              <w:right w:val="single" w:color="000000" w:sz="6" w:space="0"/>
            </w:tcBorders>
            <w:vAlign w:val="center"/>
          </w:tcPr>
          <w:p>
            <w:pPr>
              <w:pStyle w:val="11"/>
            </w:pPr>
            <w:r>
              <w:t>1282.93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627.71</w:t>
            </w:r>
          </w:p>
        </w:tc>
        <w:tc>
          <w:tcPr>
            <w:tcW w:w="2551" w:type="dxa"/>
            <w:tcBorders>
              <w:top w:val="single" w:color="000000" w:sz="6" w:space="0"/>
              <w:left w:val="single" w:color="000000" w:sz="6" w:space="0"/>
              <w:right w:val="single" w:color="000000" w:sz="6" w:space="0"/>
            </w:tcBorders>
            <w:vAlign w:val="center"/>
          </w:tcPr>
          <w:p>
            <w:pPr>
              <w:pStyle w:val="11"/>
            </w:pPr>
            <w:r>
              <w:t>627.71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76.62</w:t>
            </w:r>
          </w:p>
        </w:tc>
        <w:tc>
          <w:tcPr>
            <w:tcW w:w="2551" w:type="dxa"/>
            <w:tcBorders>
              <w:top w:val="single" w:color="000000" w:sz="6" w:space="0"/>
              <w:left w:val="single" w:color="000000" w:sz="6" w:space="0"/>
              <w:right w:val="single" w:color="000000" w:sz="6" w:space="0"/>
            </w:tcBorders>
            <w:vAlign w:val="center"/>
          </w:tcPr>
          <w:p>
            <w:pPr>
              <w:pStyle w:val="11"/>
            </w:pPr>
            <w:r>
              <w:t>76.62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239.50</w:t>
            </w:r>
          </w:p>
        </w:tc>
        <w:tc>
          <w:tcPr>
            <w:tcW w:w="2551" w:type="dxa"/>
            <w:tcBorders>
              <w:top w:val="single" w:color="000000" w:sz="6" w:space="0"/>
              <w:left w:val="single" w:color="000000" w:sz="6" w:space="0"/>
              <w:right w:val="single" w:color="000000" w:sz="6" w:space="0"/>
            </w:tcBorders>
            <w:vAlign w:val="center"/>
          </w:tcPr>
          <w:p>
            <w:pPr>
              <w:pStyle w:val="11"/>
            </w:pPr>
            <w:r>
              <w:t>239.50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131.46</w:t>
            </w:r>
          </w:p>
        </w:tc>
        <w:tc>
          <w:tcPr>
            <w:tcW w:w="2551" w:type="dxa"/>
            <w:tcBorders>
              <w:top w:val="single" w:color="000000" w:sz="6" w:space="0"/>
              <w:left w:val="single" w:color="000000" w:sz="6" w:space="0"/>
              <w:right w:val="single" w:color="000000" w:sz="6" w:space="0"/>
            </w:tcBorders>
            <w:vAlign w:val="center"/>
          </w:tcPr>
          <w:p>
            <w:pPr>
              <w:pStyle w:val="11"/>
            </w:pPr>
            <w:r>
              <w:t>131.46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30109</w:t>
            </w:r>
          </w:p>
        </w:tc>
        <w:tc>
          <w:tcPr>
            <w:tcW w:w="4535" w:type="dxa"/>
            <w:tcBorders>
              <w:top w:val="single" w:color="000000" w:sz="6" w:space="0"/>
              <w:left w:val="single" w:color="000000" w:sz="6" w:space="0"/>
              <w:right w:val="single" w:color="000000" w:sz="6" w:space="0"/>
            </w:tcBorders>
            <w:vAlign w:val="center"/>
          </w:tcPr>
          <w:p>
            <w:pPr>
              <w:pStyle w:val="12"/>
            </w:pPr>
            <w:r>
              <w:t>职业年金缴费</w:t>
            </w:r>
          </w:p>
        </w:tc>
        <w:tc>
          <w:tcPr>
            <w:tcW w:w="2551" w:type="dxa"/>
            <w:tcBorders>
              <w:top w:val="single" w:color="000000" w:sz="6" w:space="0"/>
              <w:left w:val="single" w:color="000000" w:sz="6" w:space="0"/>
              <w:right w:val="single" w:color="000000" w:sz="6" w:space="0"/>
            </w:tcBorders>
            <w:vAlign w:val="center"/>
          </w:tcPr>
          <w:p>
            <w:pPr>
              <w:pStyle w:val="11"/>
            </w:pPr>
            <w:r>
              <w:t>51.50</w:t>
            </w:r>
          </w:p>
        </w:tc>
        <w:tc>
          <w:tcPr>
            <w:tcW w:w="2551" w:type="dxa"/>
            <w:tcBorders>
              <w:top w:val="single" w:color="000000" w:sz="6" w:space="0"/>
              <w:left w:val="single" w:color="000000" w:sz="6" w:space="0"/>
              <w:right w:val="single" w:color="000000" w:sz="6" w:space="0"/>
            </w:tcBorders>
            <w:vAlign w:val="center"/>
          </w:tcPr>
          <w:p>
            <w:pPr>
              <w:pStyle w:val="11"/>
            </w:pPr>
            <w:r>
              <w:t>51.50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78.28</w:t>
            </w:r>
          </w:p>
        </w:tc>
        <w:tc>
          <w:tcPr>
            <w:tcW w:w="2551" w:type="dxa"/>
            <w:tcBorders>
              <w:top w:val="single" w:color="000000" w:sz="6" w:space="0"/>
              <w:left w:val="single" w:color="000000" w:sz="6" w:space="0"/>
              <w:right w:val="single" w:color="000000" w:sz="6" w:space="0"/>
            </w:tcBorders>
            <w:vAlign w:val="center"/>
          </w:tcPr>
          <w:p>
            <w:pPr>
              <w:pStyle w:val="11"/>
            </w:pPr>
            <w:r>
              <w:t>78.28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11.40</w:t>
            </w:r>
          </w:p>
        </w:tc>
        <w:tc>
          <w:tcPr>
            <w:tcW w:w="2551" w:type="dxa"/>
            <w:tcBorders>
              <w:top w:val="single" w:color="000000" w:sz="6" w:space="0"/>
              <w:left w:val="single" w:color="000000" w:sz="6" w:space="0"/>
              <w:right w:val="single" w:color="000000" w:sz="6" w:space="0"/>
            </w:tcBorders>
            <w:vAlign w:val="center"/>
          </w:tcPr>
          <w:p>
            <w:pPr>
              <w:pStyle w:val="11"/>
            </w:pPr>
            <w:r>
              <w:t>11.40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66.46</w:t>
            </w:r>
          </w:p>
        </w:tc>
        <w:tc>
          <w:tcPr>
            <w:tcW w:w="2551" w:type="dxa"/>
            <w:tcBorders>
              <w:top w:val="single" w:color="000000" w:sz="6" w:space="0"/>
              <w:left w:val="single" w:color="000000" w:sz="6" w:space="0"/>
              <w:right w:val="single" w:color="000000" w:sz="6" w:space="0"/>
            </w:tcBorders>
            <w:vAlign w:val="center"/>
          </w:tcPr>
          <w:p>
            <w:pPr>
              <w:pStyle w:val="11"/>
            </w:pPr>
            <w:r>
              <w:t>66.46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7.46</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7.46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6.79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6.79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0.67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95.02</w:t>
            </w:r>
          </w:p>
        </w:tc>
        <w:tc>
          <w:tcPr>
            <w:tcW w:w="2551" w:type="dxa"/>
            <w:tcBorders>
              <w:top w:val="single" w:color="000000" w:sz="6" w:space="0"/>
              <w:left w:val="single" w:color="000000" w:sz="6" w:space="0"/>
              <w:right w:val="single" w:color="000000" w:sz="6" w:space="0"/>
            </w:tcBorders>
            <w:vAlign w:val="center"/>
          </w:tcPr>
          <w:p>
            <w:pPr>
              <w:pStyle w:val="11"/>
            </w:pPr>
            <w:r>
              <w:t>95.02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90.03</w:t>
            </w:r>
          </w:p>
        </w:tc>
        <w:tc>
          <w:tcPr>
            <w:tcW w:w="2551" w:type="dxa"/>
            <w:tcBorders>
              <w:top w:val="single" w:color="000000" w:sz="6" w:space="0"/>
              <w:left w:val="single" w:color="000000" w:sz="6" w:space="0"/>
              <w:right w:val="single" w:color="000000" w:sz="6" w:space="0"/>
            </w:tcBorders>
            <w:vAlign w:val="center"/>
          </w:tcPr>
          <w:p>
            <w:pPr>
              <w:pStyle w:val="11"/>
            </w:pPr>
            <w:r>
              <w:t>90.03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4.99</w:t>
            </w:r>
          </w:p>
        </w:tc>
        <w:tc>
          <w:tcPr>
            <w:tcW w:w="2551" w:type="dxa"/>
            <w:tcBorders>
              <w:top w:val="single" w:color="000000" w:sz="6" w:space="0"/>
              <w:left w:val="single" w:color="000000" w:sz="6" w:space="0"/>
              <w:right w:val="single" w:color="000000" w:sz="6" w:space="0"/>
            </w:tcBorders>
            <w:vAlign w:val="center"/>
          </w:tcPr>
          <w:p>
            <w:pPr>
              <w:pStyle w:val="11"/>
            </w:pPr>
            <w:r>
              <w:t>4.99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000000" w:sz="6" w:space="0"/>
              <w:left w:val="single" w:color="000000" w:sz="6" w:space="0"/>
              <w:right w:val="single" w:color="000000" w:sz="6" w:space="0"/>
            </w:tcBorders>
            <w:vAlign w:val="center"/>
          </w:tcPr>
          <w:p>
            <w:pPr>
              <w:pStyle w:val="12"/>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昌黎县融媒体中心（昌黎县广播电视台、昌黎广播电视转播台）2026年部门预算信息公开情况说明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昌黎县融媒体中心（昌黎县广播电视台、昌黎广播电视转播台）2026年部门预算信息公开情况说明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融媒体中心（昌黎县广播电视台、昌黎广播电视转播台）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根据《中共昌黎县委机构编制委员会关于设立昌黎县融媒休中心的通知》，昌黎县融媒体中心（昌黎县广播电视台、昌黎广播电视转播台）的主要职责是：全面、准确、及时宣传党的路线、方针、政策，充分发挥党和政府的喉舌作用，把握正确舆论导向，负责全县广播电视及纸质媒体、网络媒体宣传工作，研究新闻采编报道中的重大问题，组织全局性重大宣传报道活动，不断提高宣传质量，提高我县新闻舆论的传播力、引导力、影响力、公信力。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昌黎县融媒体中心（昌黎县广播电视台、昌黎广播电视转播台）本级</w:t>
            </w:r>
          </w:p>
        </w:tc>
        <w:tc>
          <w:tcPr>
            <w:tcW w:w="1843" w:type="dxa"/>
            <w:tcBorders>
              <w:top w:val="single" w:color="000000" w:sz="6" w:space="0"/>
              <w:left w:val="single" w:color="000000" w:sz="6" w:space="0"/>
              <w:right w:val="single" w:color="000000" w:sz="6" w:space="0"/>
            </w:tcBorders>
            <w:vAlign w:val="center"/>
          </w:tcPr>
          <w:p>
            <w:pPr>
              <w:pStyle w:val="13"/>
            </w:pPr>
            <w:r>
              <w:t>事业</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财政性资金定额或定项补助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融媒体中心（昌黎县广播电视台、昌黎广播电视转播台）机关及所属事业单位的收支包含在部门预算中。</w:t>
      </w:r>
    </w:p>
    <w:p>
      <w:pPr>
        <w:pStyle w:val="18"/>
      </w:pPr>
      <w:r>
        <w:t>1、收入说明</w:t>
      </w:r>
    </w:p>
    <w:p>
      <w:pPr>
        <w:pStyle w:val="18"/>
      </w:pPr>
      <w:r>
        <w:t>反映本部门当年全部收入。2026年预算收入1554.00万元，其中：一般公共预算收入1434.00万元，基金预算收入0.00万元，国有资本经营预算收入0.00万元，财政专户核拨收入0.00万元，单位资金收入120.00万元，上年结转结余0.00万元。</w:t>
      </w:r>
    </w:p>
    <w:p>
      <w:pPr>
        <w:pStyle w:val="18"/>
      </w:pPr>
      <w:r>
        <w:t>2、支出说明</w:t>
      </w:r>
    </w:p>
    <w:p>
      <w:pPr>
        <w:pStyle w:val="18"/>
      </w:pPr>
      <w:r>
        <w:t>收支预算总表支出栏、基本支出表、项目支出表按经济分类和支出功能分类科目编制，反映昌黎县融媒体中心（昌黎县广播电视台、昌黎广播电视转播台）年度部门预算中支出预算的总体情况。2026年支出预算1554.00万元，其中基本支出1505.40万元，包括人员经费1377.95万元和日常公用经费127.46万元；项目支出48.60万元，主要为河北广播电视微波站设备维护费转移支付资金4万元；劳务派遣人员劳务费44.6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1554.00万元，较2025年预算增加224.00万元，其中：基本支出增加219.30万元，主要为人员工资、保险费用的增加99.3万元，单位资金安排公用经费增加120万元。项目支出增加4.70万元，主要为劳务派遣人员费用增加4.7万元。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2026年，我部门机关运行经费共计安排127.46万元，主要用于日常维修、办公用房水电费、办公用房取暖费、办公用房物业管理费等日常运行支出。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未安排财政拨款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2026年，融媒体中心坚持以习近平新时代中国特色社会主义思想为指导，深入宣传贯彻</w:t>
      </w:r>
      <w:r>
        <w:rPr>
          <w:rFonts w:hint="eastAsia"/>
          <w:lang w:eastAsia="zh-CN"/>
        </w:rPr>
        <w:t>党的</w:t>
      </w:r>
      <w:r>
        <w:t>二十届四中全会精神,在县委、县政府的正确领导下，坚持正确的舆论导向，牢牢把握意识形态主动权，促进传统媒体和新媒体互融互补、共同发力，积极推进主流媒体系统性变革，不断提升融媒体传播能力和影响力，努力为全县经济社会发展营造浓厚舆论氛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（一）新闻宣传质量进一步提升</w:t>
      </w:r>
    </w:p>
    <w:p>
      <w:pPr>
        <w:pStyle w:val="22"/>
      </w:pPr>
      <w:r>
        <w:t>绩效目标1：紧紧围绕县委县政府中心工作，紧扣时代主题，聚焦重大决策部署抓中心工作宣传、聚焦改革创新抓发展宣传、聚焦城乡建设抓形象宣传、聚焦百姓生活抓民生宣传、聚焦重大活动抓战役宣传，以“绩效管理、深化改革、真抓实干”为举措，全面、准确、及时宣传党的路线、方针、政策，努力提升传统媒体与新兴媒体的产品内容和服务水平，推出更多有质量、有深度、有影响的专题报道，讲好昌黎故事，传播昌黎声音，做大做强正面宣传，强化优化主流舆论。</w:t>
      </w:r>
    </w:p>
    <w:p>
      <w:pPr>
        <w:pStyle w:val="22"/>
      </w:pPr>
      <w:r>
        <w:t>绩效指标1：昌黎电台、电视台全年制作播出《昌黎新闻》≥500期，开设专栏≥10个。</w:t>
      </w:r>
    </w:p>
    <w:p>
      <w:pPr>
        <w:pStyle w:val="22"/>
      </w:pPr>
      <w:r>
        <w:t>绩效目标2：做好“昌黎发布”、昌黎融媒体中心微信公众号、抖音、快手等新媒体平台运营工作，加强冀云昌黎平台建设，策划开通抖音、快手等新媒体平台的慢直播，搭建更加鲜活生动的新媒直播平台，以“亲切柔和”的风格和短视频式精炼的情感化表达，增强节目亲和力，努力打造人民群</w:t>
      </w:r>
      <w:r>
        <w:rPr>
          <w:rFonts w:hint="eastAsia"/>
          <w:lang w:eastAsia="zh-CN"/>
        </w:rPr>
        <w:t>众</w:t>
      </w:r>
      <w:r>
        <w:t>欢迎和喜爱的新媒体形象,为县委县政府及各乡镇、各部门提供更优质的全媒体平台服务。</w:t>
      </w:r>
    </w:p>
    <w:p>
      <w:pPr>
        <w:pStyle w:val="22"/>
      </w:pPr>
      <w:r>
        <w:t>绩效指标2：新媒体平台粉丝总数保持≥100万，发布作品总量≥4000条。</w:t>
      </w:r>
    </w:p>
    <w:p>
      <w:pPr>
        <w:pStyle w:val="22"/>
      </w:pPr>
      <w:r>
        <w:t>绩效目标3：加大对上供稿力度。进一步加大外宣工作力度，尤其加强与中央级主流媒体沟通联络，深入挖掘我县项目建设、文化旅游、民生实事等各个领域的突出亮点，精心组织策划选题，提升对上发稿的数量与质量，为扩大我县的影响力、提升美誉度作出更大贡献。</w:t>
      </w:r>
    </w:p>
    <w:p>
      <w:pPr>
        <w:pStyle w:val="22"/>
      </w:pPr>
      <w:r>
        <w:t>绩效指标3：增加新闻稿件的对上报送量，努力实现在中央级媒体发稿总量≥100件。</w:t>
      </w:r>
    </w:p>
    <w:p>
      <w:pPr>
        <w:pStyle w:val="22"/>
      </w:pPr>
      <w:r>
        <w:t>（二）推进融媒体中心建设有效落实</w:t>
      </w:r>
    </w:p>
    <w:p>
      <w:pPr>
        <w:pStyle w:val="22"/>
      </w:pPr>
      <w:r>
        <w:t>绩效目标1：加大演播大厅的利用率，为全县各级各部门和社会团体提供演出编导、录制服务、活动策划等专业化优质服务。</w:t>
      </w:r>
    </w:p>
    <w:p>
      <w:pPr>
        <w:pStyle w:val="22"/>
      </w:pPr>
      <w:r>
        <w:t>绩效指标1：演播大厅举办演出活动≥10场。</w:t>
      </w:r>
    </w:p>
    <w:p>
      <w:pPr>
        <w:pStyle w:val="22"/>
      </w:pPr>
      <w:r>
        <w:t>绩效目标2：加大人才培养和业务培训力度，开展业务大练兵，组织“融媒大讲堂”，按照新时期融媒体发展形势要求，结合有连续新招聘人员上岗的实际，利用多种形式加强业务培训，全面提升新闻从业人员的政治素养、业务本领和综合能力，培养更多业务骨干。</w:t>
      </w:r>
    </w:p>
    <w:p>
      <w:pPr>
        <w:pStyle w:val="22"/>
      </w:pPr>
      <w:r>
        <w:t>绩效指标2：全年组织政治理论学习和融媒体专业知识培训次数≥20次，新闻采编人员覆盖率达到100%。</w:t>
      </w:r>
    </w:p>
    <w:p>
      <w:pPr>
        <w:pStyle w:val="22"/>
      </w:pPr>
      <w:r>
        <w:t>（三）安全优质播出进一步加强</w:t>
      </w:r>
    </w:p>
    <w:p>
      <w:pPr>
        <w:pStyle w:val="22"/>
      </w:pPr>
      <w:r>
        <w:t>绩效目标1：做好节目监听监看及安全防范等工作，抓好安全播出工作，加强安全防范，确保转播台人员、设备及转播信号安全。</w:t>
      </w:r>
    </w:p>
    <w:p>
      <w:pPr>
        <w:pStyle w:val="22"/>
      </w:pPr>
      <w:r>
        <w:t>绩效指标1：加强播出机房人员教育管理，做到24小时值班值守，实现安全优质播出。</w:t>
      </w:r>
    </w:p>
    <w:p>
      <w:pPr>
        <w:pStyle w:val="22"/>
      </w:pPr>
      <w:r>
        <w:t>绩效目标2：加强设备设施隐患排查整改，及时购置更新转播台设备，确保中央、省、市、县台节目安全优质播出。</w:t>
      </w:r>
    </w:p>
    <w:p>
      <w:pPr>
        <w:pStyle w:val="22"/>
      </w:pPr>
      <w:r>
        <w:t>绩效指标2：全年广播电视节目无线覆盖率≥95%。</w:t>
      </w:r>
    </w:p>
    <w:p>
      <w:pPr>
        <w:pStyle w:val="22"/>
      </w:pPr>
      <w:r>
        <w:t>正常播出广播电视节目数量占总播出数量的比例≥95%。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（一）加强宣传工作</w:t>
      </w:r>
    </w:p>
    <w:p>
      <w:pPr>
        <w:pStyle w:val="23"/>
      </w:pPr>
      <w:r>
        <w:t>充分发挥广播电视媒体优势，坚持广播、电视、微信公众号进行立体宣传，产生良好社会效果。</w:t>
      </w:r>
    </w:p>
    <w:p>
      <w:pPr>
        <w:pStyle w:val="23"/>
      </w:pPr>
      <w:r>
        <w:t>（二）保障安全播出</w:t>
      </w:r>
    </w:p>
    <w:p>
      <w:pPr>
        <w:pStyle w:val="23"/>
      </w:pPr>
      <w:r>
        <w:t>加强播出机房人员教育管理，做到24小时值班值守，做好节目监听监看及安全防范等工作，实现安全优质播出。</w:t>
      </w:r>
    </w:p>
    <w:p>
      <w:pPr>
        <w:pStyle w:val="23"/>
      </w:pPr>
      <w:r>
        <w:t>（三）促进事业建设</w:t>
      </w:r>
    </w:p>
    <w:p>
      <w:pPr>
        <w:pStyle w:val="23"/>
      </w:pPr>
      <w:r>
        <w:t>一是促进全媒体宣传平台建设。二是加强转播台基础设施维护。</w:t>
      </w:r>
    </w:p>
    <w:p>
      <w:pPr>
        <w:pStyle w:val="23"/>
      </w:pPr>
      <w:r>
        <w:t>（四）加强党的建设和队伍建设</w:t>
      </w:r>
    </w:p>
    <w:p>
      <w:pPr>
        <w:pStyle w:val="23"/>
      </w:pPr>
      <w:r>
        <w:t>加强机关党委及两个支部组织建设和制度建设，切实履行党风廉政建设主体责任和支部书记全面从严治党第一责任人职责，加强党员教育、管理和监督，不断提高党员的政治觉悟和工作水平。严格执行中央八项规定和单位各项规章制度。</w:t>
      </w:r>
    </w:p>
    <w:p>
      <w:pPr>
        <w:pStyle w:val="23"/>
      </w:pPr>
      <w:r>
        <w:t>（五）加强财务管理</w:t>
      </w:r>
    </w:p>
    <w:p>
      <w:pPr>
        <w:pStyle w:val="23"/>
      </w:pPr>
      <w:r>
        <w:t>完善部门内部财务管理制度，严格审批程序，加强固定资产登记、使用和报废处置管理，严格控制支出，厉行节约，保障单位财务工作顺利开展；完善内部监督，加强部门内部监督制度建设，对绩效运行情况、重大支出决策、对外投资、资产处置及其他重要经济业务事项的决策和执行进行督导，对会计资料进行内部审计，并配合做好审计、财政监督等外部监督工作，确保单位资金有效运用。</w:t>
      </w:r>
    </w:p>
    <w:p>
      <w:pPr>
        <w:pStyle w:val="23"/>
      </w:pPr>
      <w:r>
        <w:t>（六）工作保障措施</w:t>
      </w:r>
    </w:p>
    <w:p>
      <w:pPr>
        <w:pStyle w:val="23"/>
      </w:pPr>
      <w:r>
        <w:t>为应对可能存在的问题和环境变化等趋势，采取措施预做准备，控制偏差，保证绩效目标实现，制定以下保障措施：</w:t>
      </w:r>
    </w:p>
    <w:p>
      <w:pPr>
        <w:pStyle w:val="23"/>
      </w:pPr>
      <w:r>
        <w:t>1、完善制度建设。建立健全管理制度，制定完善《预算绩效管理制度》、《财务管理暂行规定》等一系列财务规章制度。为落实全面实施预算绩效管理要求，规范预算项目管理，建立了规范的绩效预算管理结构，健全了绩效目标指标体系。</w:t>
      </w:r>
    </w:p>
    <w:p>
      <w:pPr>
        <w:pStyle w:val="23"/>
      </w:pPr>
      <w:r>
        <w:t>2、加强支出管理。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资金运行，提高资金使用效率。</w:t>
      </w:r>
    </w:p>
    <w:p>
      <w:pPr>
        <w:pStyle w:val="23"/>
      </w:pPr>
      <w:r>
        <w:t>3、加强绩效运行监控。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3"/>
      </w:pPr>
      <w:r>
        <w:t>4、做好绩效自评。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3"/>
      </w:pPr>
      <w:r>
        <w:t>5、规范财务资产管理。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3"/>
      </w:pPr>
      <w:r>
        <w:t>6、加强内部监督。建立健全内部控制体系，完善内部控制制度。建立了项目开展、大额资金使用的集体决策机制，建立了专项资金审批、使用和日常经费使用审批流程，强化对权力运行的制约和监督。建立和完善内部控制手册，严格执行《</w:t>
      </w:r>
      <w:r>
        <w:rPr>
          <w:rFonts w:hint="eastAsia"/>
          <w:lang w:eastAsia="zh-CN"/>
        </w:rPr>
        <w:t>中华人民共和国</w:t>
      </w:r>
      <w:bookmarkStart w:id="20" w:name="_GoBack"/>
      <w:bookmarkEnd w:id="20"/>
      <w:r>
        <w:t>会计法》，财务人员明确岗位职责，保证单位经济活动合法合规、资产安全和使用有效、财务信息真实完整。</w:t>
      </w:r>
    </w:p>
    <w:p>
      <w:pPr>
        <w:pStyle w:val="23"/>
        <w:sectPr>
          <w:pgSz w:w="16840" w:h="11900" w:orient="landscape"/>
          <w:pgMar w:top="1361" w:right="1020" w:bottom="1361" w:left="1020" w:header="720" w:footer="720" w:gutter="0"/>
          <w:cols w:space="720" w:num="1"/>
          <w:docGrid w:linePitch="326" w:charSpace="0"/>
        </w:sectPr>
      </w:pPr>
      <w:r>
        <w:t>7、加强宣传培训调研等。强化信息宣传，营造良好氛围。进一步加大信息宣传工作力度，扩大宣传范围，创新宣传方式让各项制度简单明了、人人掌握，确保各项业务工作规范运行。</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left="0" w:firstLine="560" w:firstLineChars="200"/>
        <w:jc w:val="left"/>
        <w:outlineLvl w:val="2"/>
        <w:rPr>
          <w:rFonts w:eastAsia="方正仿宋_GBK"/>
          <w:sz w:val="28"/>
        </w:rPr>
        <w:sectPr>
          <w:pgSz w:w="16840" w:h="11900" w:orient="landscape"/>
          <w:pgMar w:top="1361" w:right="1020" w:bottom="1134" w:left="1020" w:header="720" w:footer="720" w:gutter="0"/>
          <w:cols w:space="720" w:num="1"/>
          <w:docGrid w:linePitch="326" w:charSpace="0"/>
        </w:sectPr>
      </w:pPr>
      <w:r>
        <w:rPr>
          <w:rFonts w:eastAsia="方正仿宋_GBK"/>
          <w:sz w:val="28"/>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13032226P00233310062H</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44.60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44.60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用于单位劳务派遣人员等工资发放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75%</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1.保证劳务派遣等人员工资按时发放，确保机关单位正常运行。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劳务派遣人员数量</w:t>
            </w:r>
          </w:p>
        </w:tc>
        <w:tc>
          <w:tcPr>
            <w:tcW w:w="5386" w:type="dxa"/>
            <w:tcBorders>
              <w:top w:val="single" w:color="000000" w:sz="6" w:space="0"/>
              <w:left w:val="single" w:color="000000" w:sz="6" w:space="0"/>
              <w:right w:val="single" w:color="000000" w:sz="6" w:space="0"/>
            </w:tcBorders>
            <w:vAlign w:val="center"/>
          </w:tcPr>
          <w:p>
            <w:pPr>
              <w:pStyle w:val="12"/>
            </w:pPr>
            <w:r>
              <w:t>单位支付的劳务派遣人员数量</w:t>
            </w:r>
          </w:p>
        </w:tc>
        <w:tc>
          <w:tcPr>
            <w:tcW w:w="2268" w:type="dxa"/>
            <w:tcBorders>
              <w:top w:val="single" w:color="000000" w:sz="6" w:space="0"/>
              <w:left w:val="single" w:color="000000" w:sz="6" w:space="0"/>
              <w:right w:val="single" w:color="000000" w:sz="6" w:space="0"/>
            </w:tcBorders>
            <w:vAlign w:val="center"/>
          </w:tcPr>
          <w:p>
            <w:pPr>
              <w:pStyle w:val="12"/>
            </w:pPr>
            <w:r>
              <w:t>≥7人</w:t>
            </w:r>
          </w:p>
        </w:tc>
        <w:tc>
          <w:tcPr>
            <w:tcW w:w="1276" w:type="dxa"/>
            <w:vAlign w:val="center"/>
          </w:tcPr>
          <w:p>
            <w:pPr>
              <w:pStyle w:val="12"/>
            </w:pPr>
            <w:r>
              <w:t>劳务派遣人数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劳务派遣人员经费发放及时率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人员经费到位率</w:t>
            </w:r>
          </w:p>
        </w:tc>
        <w:tc>
          <w:tcPr>
            <w:tcW w:w="5386" w:type="dxa"/>
            <w:tcBorders>
              <w:top w:val="single" w:color="000000" w:sz="6" w:space="0"/>
              <w:left w:val="single" w:color="000000" w:sz="6" w:space="0"/>
              <w:right w:val="single" w:color="000000" w:sz="6" w:space="0"/>
            </w:tcBorders>
            <w:vAlign w:val="center"/>
          </w:tcPr>
          <w:p>
            <w:pPr>
              <w:pStyle w:val="12"/>
            </w:pPr>
            <w:r>
              <w:t>劳务派遣人员经费到位资金的比例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人均劳务费成本</w:t>
            </w:r>
          </w:p>
        </w:tc>
        <w:tc>
          <w:tcPr>
            <w:tcW w:w="5386" w:type="dxa"/>
            <w:tcBorders>
              <w:top w:val="single" w:color="000000" w:sz="6" w:space="0"/>
              <w:left w:val="single" w:color="000000" w:sz="6" w:space="0"/>
              <w:right w:val="single" w:color="000000" w:sz="6" w:space="0"/>
            </w:tcBorders>
            <w:vAlign w:val="center"/>
          </w:tcPr>
          <w:p>
            <w:pPr>
              <w:pStyle w:val="12"/>
            </w:pPr>
            <w:r>
              <w:t>单位支付的劳务派遣人员总费用与劳务派遣人数的比例</w:t>
            </w:r>
          </w:p>
        </w:tc>
        <w:tc>
          <w:tcPr>
            <w:tcW w:w="2268" w:type="dxa"/>
            <w:tcBorders>
              <w:top w:val="single" w:color="000000" w:sz="6" w:space="0"/>
              <w:left w:val="single" w:color="000000" w:sz="6" w:space="0"/>
              <w:right w:val="single" w:color="000000" w:sz="6" w:space="0"/>
            </w:tcBorders>
            <w:vAlign w:val="center"/>
          </w:tcPr>
          <w:p>
            <w:pPr>
              <w:pStyle w:val="12"/>
            </w:pPr>
            <w:r>
              <w:t>≤6.3万元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历史经验</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2、提前下达2026年省级公共文化服务体系建设补助资金绩效目标表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13032226P00217710031E</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提高资金使用效率,保障系统正常传输。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1.提高资金使用效率,保障系统正常传输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巡检微波系统次数</w:t>
            </w:r>
          </w:p>
        </w:tc>
        <w:tc>
          <w:tcPr>
            <w:tcW w:w="5386" w:type="dxa"/>
            <w:tcBorders>
              <w:top w:val="single" w:color="000000" w:sz="6" w:space="0"/>
              <w:left w:val="single" w:color="000000" w:sz="6" w:space="0"/>
              <w:right w:val="single" w:color="000000" w:sz="6" w:space="0"/>
            </w:tcBorders>
            <w:vAlign w:val="center"/>
          </w:tcPr>
          <w:p>
            <w:pPr>
              <w:pStyle w:val="12"/>
            </w:pPr>
            <w:r>
              <w:t>值班人员每天巡检次数</w:t>
            </w:r>
          </w:p>
        </w:tc>
        <w:tc>
          <w:tcPr>
            <w:tcW w:w="2268" w:type="dxa"/>
            <w:tcBorders>
              <w:top w:val="single" w:color="000000" w:sz="6" w:space="0"/>
              <w:left w:val="single" w:color="000000" w:sz="6" w:space="0"/>
              <w:right w:val="single" w:color="000000" w:sz="6" w:space="0"/>
            </w:tcBorders>
            <w:vAlign w:val="center"/>
          </w:tcPr>
          <w:p>
            <w:pPr>
              <w:pStyle w:val="12"/>
            </w:pPr>
            <w:r>
              <w:t>≥22次/每天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信号传输中断率</w:t>
            </w:r>
          </w:p>
        </w:tc>
        <w:tc>
          <w:tcPr>
            <w:tcW w:w="5386" w:type="dxa"/>
            <w:tcBorders>
              <w:top w:val="single" w:color="000000" w:sz="6" w:space="0"/>
              <w:left w:val="single" w:color="000000" w:sz="6" w:space="0"/>
              <w:right w:val="single" w:color="000000" w:sz="6" w:space="0"/>
            </w:tcBorders>
            <w:vAlign w:val="center"/>
          </w:tcPr>
          <w:p>
            <w:pPr>
              <w:pStyle w:val="12"/>
            </w:pPr>
            <w:r>
              <w:t>中断天数占运行天数的比例</w:t>
            </w:r>
          </w:p>
        </w:tc>
        <w:tc>
          <w:tcPr>
            <w:tcW w:w="2268" w:type="dxa"/>
            <w:tcBorders>
              <w:top w:val="single" w:color="000000" w:sz="6" w:space="0"/>
              <w:left w:val="single" w:color="000000" w:sz="6" w:space="0"/>
              <w:right w:val="single" w:color="000000" w:sz="6" w:space="0"/>
            </w:tcBorders>
            <w:vAlign w:val="center"/>
          </w:tcPr>
          <w:p>
            <w:pPr>
              <w:pStyle w:val="12"/>
            </w:pPr>
            <w:r>
              <w:t>≤1%</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维修及时率</w:t>
            </w:r>
          </w:p>
        </w:tc>
        <w:tc>
          <w:tcPr>
            <w:tcW w:w="5386" w:type="dxa"/>
            <w:tcBorders>
              <w:top w:val="single" w:color="000000" w:sz="6" w:space="0"/>
              <w:left w:val="single" w:color="000000" w:sz="6" w:space="0"/>
              <w:right w:val="single" w:color="000000" w:sz="6" w:space="0"/>
            </w:tcBorders>
            <w:vAlign w:val="center"/>
          </w:tcPr>
          <w:p>
            <w:pPr>
              <w:pStyle w:val="12"/>
            </w:pPr>
            <w:r>
              <w:t>及时维修次数/故障总次数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运行维护费用</w:t>
            </w:r>
          </w:p>
        </w:tc>
        <w:tc>
          <w:tcPr>
            <w:tcW w:w="5386" w:type="dxa"/>
            <w:tcBorders>
              <w:top w:val="single" w:color="000000" w:sz="6" w:space="0"/>
              <w:left w:val="single" w:color="000000" w:sz="6" w:space="0"/>
              <w:right w:val="single" w:color="000000" w:sz="6" w:space="0"/>
            </w:tcBorders>
            <w:vAlign w:val="center"/>
          </w:tcPr>
          <w:p>
            <w:pPr>
              <w:pStyle w:val="12"/>
            </w:pPr>
            <w:r>
              <w:t>微波设备运行维护费用</w:t>
            </w:r>
          </w:p>
        </w:tc>
        <w:tc>
          <w:tcPr>
            <w:tcW w:w="2268" w:type="dxa"/>
            <w:tcBorders>
              <w:top w:val="single" w:color="000000" w:sz="6" w:space="0"/>
              <w:left w:val="single" w:color="000000" w:sz="6" w:space="0"/>
              <w:right w:val="single" w:color="000000" w:sz="6" w:space="0"/>
            </w:tcBorders>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降低供电线路的耗电量</w:t>
            </w:r>
          </w:p>
        </w:tc>
        <w:tc>
          <w:tcPr>
            <w:tcW w:w="5386" w:type="dxa"/>
            <w:tcBorders>
              <w:top w:val="single" w:color="000000" w:sz="6" w:space="0"/>
              <w:left w:val="single" w:color="000000" w:sz="6" w:space="0"/>
              <w:right w:val="single" w:color="000000" w:sz="6" w:space="0"/>
            </w:tcBorders>
            <w:vAlign w:val="center"/>
          </w:tcPr>
          <w:p>
            <w:pPr>
              <w:pStyle w:val="12"/>
            </w:pPr>
            <w:r>
              <w:t>合理配电，</w:t>
            </w:r>
            <w:r>
              <w:rPr>
                <w:rFonts w:hint="eastAsia"/>
                <w:lang w:eastAsia="zh-CN"/>
              </w:rPr>
              <w:t>厉行节约</w:t>
            </w:r>
            <w:r>
              <w:t>，降低供电线路的耗电量。</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提高收视质量</w:t>
            </w:r>
          </w:p>
        </w:tc>
        <w:tc>
          <w:tcPr>
            <w:tcW w:w="5386" w:type="dxa"/>
            <w:tcBorders>
              <w:top w:val="single" w:color="000000" w:sz="6" w:space="0"/>
              <w:left w:val="single" w:color="000000" w:sz="6" w:space="0"/>
              <w:right w:val="single" w:color="000000" w:sz="6" w:space="0"/>
            </w:tcBorders>
            <w:vAlign w:val="center"/>
          </w:tcPr>
          <w:p>
            <w:pPr>
              <w:pStyle w:val="12"/>
            </w:pPr>
            <w:r>
              <w:t>让大公人民群众收听、收看到高质量的广播电视节目。</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项目可持续影响期限</w:t>
            </w:r>
          </w:p>
        </w:tc>
        <w:tc>
          <w:tcPr>
            <w:tcW w:w="5386" w:type="dxa"/>
            <w:tcBorders>
              <w:top w:val="single" w:color="000000" w:sz="6" w:space="0"/>
              <w:left w:val="single" w:color="000000" w:sz="6" w:space="0"/>
              <w:right w:val="single" w:color="000000" w:sz="6" w:space="0"/>
            </w:tcBorders>
            <w:vAlign w:val="center"/>
          </w:tcPr>
          <w:p>
            <w:pPr>
              <w:pStyle w:val="12"/>
            </w:pPr>
            <w:r>
              <w:t>保障日常工作的有效运转年限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群众对广播电视公共文化服务满意度</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≥96%</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融媒体中心（昌黎县广播电视台、昌黎广播电视转播台）（含所属单位）上年末固定资产金额为3646.90万元（详见下表）。本年度拟购置固定资产总额为56.00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460昌黎县融媒体中心（昌黎县广播电视台、昌黎广播电视转播台）</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3646.90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r>
              <w:t>4348.44</w:t>
            </w:r>
          </w:p>
        </w:tc>
        <w:tc>
          <w:tcPr>
            <w:tcW w:w="2835" w:type="dxa"/>
            <w:vAlign w:val="center"/>
          </w:tcPr>
          <w:p>
            <w:pPr>
              <w:pStyle w:val="11"/>
            </w:pPr>
            <w:r>
              <w:t>1480.08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r>
              <w:t>3076.34</w:t>
            </w:r>
          </w:p>
        </w:tc>
        <w:tc>
          <w:tcPr>
            <w:tcW w:w="2835" w:type="dxa"/>
            <w:vAlign w:val="center"/>
          </w:tcPr>
          <w:p>
            <w:pPr>
              <w:pStyle w:val="11"/>
            </w:pPr>
            <w:r>
              <w:t>1267.09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2</w:t>
            </w:r>
          </w:p>
        </w:tc>
        <w:tc>
          <w:tcPr>
            <w:tcW w:w="2835" w:type="dxa"/>
            <w:vAlign w:val="center"/>
          </w:tcPr>
          <w:p>
            <w:pPr>
              <w:pStyle w:val="11"/>
            </w:pPr>
            <w:r>
              <w:t>19.24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r>
              <w:t>4</w:t>
            </w:r>
          </w:p>
        </w:tc>
        <w:tc>
          <w:tcPr>
            <w:tcW w:w="2835" w:type="dxa"/>
            <w:vAlign w:val="center"/>
          </w:tcPr>
          <w:p>
            <w:pPr>
              <w:pStyle w:val="11"/>
            </w:pPr>
            <w:r>
              <w:t>133.10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1207</w:t>
            </w:r>
          </w:p>
        </w:tc>
        <w:tc>
          <w:tcPr>
            <w:tcW w:w="2835" w:type="dxa"/>
            <w:vAlign w:val="center"/>
          </w:tcPr>
          <w:p>
            <w:pPr>
              <w:pStyle w:val="11"/>
            </w:pPr>
            <w:r>
              <w:t>2014.48</w:t>
            </w:r>
          </w:p>
        </w:tc>
      </w:tr>
    </w:tbl>
    <w:p>
      <w:pPr>
        <w:spacing w:before="0" w:after="0"/>
        <w:ind w:left="0"/>
        <w:jc w:val="left"/>
        <w:outlineLvl w:val="9"/>
      </w:pP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4BF57415"/>
    <w:rsid w:val="50C2143B"/>
    <w:rsid w:val="56001744"/>
    <w:rsid w:val="661A3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1FD37-1955-443A-83EF-B57D2FA6A277}">
  <ds:schemaRefs/>
</ds:datastoreItem>
</file>

<file path=docProps/app.xml><?xml version="1.0" encoding="utf-8"?>
<Properties xmlns="http://schemas.openxmlformats.org/officeDocument/2006/extended-properties" xmlns:vt="http://schemas.openxmlformats.org/officeDocument/2006/docPropsVTypes">
  <Template>Normal.eit</Template>
  <Pages>27</Pages>
  <Words>0</Words>
  <Characters>9883</Characters>
  <Lines>0</Lines>
  <Paragraphs>153</Paragraphs>
  <TotalTime>10</TotalTime>
  <ScaleCrop>false</ScaleCrop>
  <LinksUpToDate>false</LinksUpToDate>
  <CharactersWithSpaces>13178</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2026-02-09T02:19:11Z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EFD33BE667214A3CBAEB4A38EEED0BE7</vt:lpwstr>
  </property>
</Properties>
</file>