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98</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98</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99</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100</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324昌黎县自然资源和规划局</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3188.24</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28000.00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326.40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110.27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28356.33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r>
              <w:t>2420.20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119.04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31188.24</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31360.24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172.00</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31360.24</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31360.24</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324昌黎县自然资源和规划局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31360.24</w:t>
            </w:r>
          </w:p>
        </w:tc>
        <w:tc>
          <w:tcPr>
            <w:tcW w:w="1134" w:type="dxa"/>
            <w:tcBorders>
              <w:top w:val="single" w:color="000000" w:sz="6" w:space="0"/>
              <w:left w:val="single" w:color="000000" w:sz="6" w:space="0"/>
              <w:right w:val="single" w:color="000000" w:sz="6" w:space="0"/>
            </w:tcBorders>
            <w:vAlign w:val="center"/>
          </w:tcPr>
          <w:p>
            <w:pPr>
              <w:pStyle w:val="18"/>
            </w:pPr>
            <w:r>
              <w:t>31188.24</w:t>
            </w:r>
          </w:p>
        </w:tc>
        <w:tc>
          <w:tcPr>
            <w:tcW w:w="1134" w:type="dxa"/>
            <w:tcBorders>
              <w:top w:val="single" w:color="000000" w:sz="6" w:space="0"/>
              <w:left w:val="single" w:color="000000" w:sz="6" w:space="0"/>
              <w:right w:val="single" w:color="000000" w:sz="6" w:space="0"/>
            </w:tcBorders>
            <w:vAlign w:val="center"/>
          </w:tcPr>
          <w:p>
            <w:pPr>
              <w:pStyle w:val="18"/>
            </w:pPr>
            <w:r>
              <w:t>31188.24</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r>
              <w:t>326.40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238.08</w:t>
            </w:r>
          </w:p>
        </w:tc>
        <w:tc>
          <w:tcPr>
            <w:tcW w:w="1134" w:type="dxa"/>
            <w:tcBorders>
              <w:top w:val="single" w:color="000000" w:sz="6" w:space="0"/>
              <w:left w:val="single" w:color="000000" w:sz="6" w:space="0"/>
              <w:right w:val="single" w:color="000000" w:sz="6" w:space="0"/>
            </w:tcBorders>
            <w:vAlign w:val="center"/>
          </w:tcPr>
          <w:p>
            <w:pPr>
              <w:pStyle w:val="14"/>
            </w:pPr>
            <w:r>
              <w:t>238.08</w:t>
            </w:r>
          </w:p>
        </w:tc>
        <w:tc>
          <w:tcPr>
            <w:tcW w:w="1134" w:type="dxa"/>
            <w:tcBorders>
              <w:top w:val="single" w:color="000000" w:sz="6" w:space="0"/>
              <w:left w:val="single" w:color="000000" w:sz="6" w:space="0"/>
              <w:right w:val="single" w:color="000000" w:sz="6" w:space="0"/>
            </w:tcBorders>
            <w:vAlign w:val="center"/>
          </w:tcPr>
          <w:p>
            <w:pPr>
              <w:pStyle w:val="14"/>
            </w:pPr>
            <w:r>
              <w:t>238.08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88.31</w:t>
            </w:r>
          </w:p>
        </w:tc>
        <w:tc>
          <w:tcPr>
            <w:tcW w:w="1134" w:type="dxa"/>
            <w:tcBorders>
              <w:top w:val="single" w:color="000000" w:sz="6" w:space="0"/>
              <w:left w:val="single" w:color="000000" w:sz="6" w:space="0"/>
              <w:right w:val="single" w:color="000000" w:sz="6" w:space="0"/>
            </w:tcBorders>
            <w:vAlign w:val="center"/>
          </w:tcPr>
          <w:p>
            <w:pPr>
              <w:pStyle w:val="14"/>
            </w:pPr>
            <w:r>
              <w:t>88.31</w:t>
            </w:r>
          </w:p>
        </w:tc>
        <w:tc>
          <w:tcPr>
            <w:tcW w:w="1134" w:type="dxa"/>
            <w:tcBorders>
              <w:top w:val="single" w:color="000000" w:sz="6" w:space="0"/>
              <w:left w:val="single" w:color="000000" w:sz="6" w:space="0"/>
              <w:right w:val="single" w:color="000000" w:sz="6" w:space="0"/>
            </w:tcBorders>
            <w:vAlign w:val="center"/>
          </w:tcPr>
          <w:p>
            <w:pPr>
              <w:pStyle w:val="14"/>
            </w:pPr>
            <w:r>
              <w:t>88.31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r>
              <w:t>110.27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1559" w:type="dxa"/>
            <w:tcBorders>
              <w:top w:val="single" w:color="000000" w:sz="6" w:space="0"/>
              <w:left w:val="single" w:color="000000" w:sz="6" w:space="0"/>
              <w:right w:val="single" w:color="000000" w:sz="6" w:space="0"/>
            </w:tcBorders>
            <w:vAlign w:val="center"/>
          </w:tcPr>
          <w:p>
            <w:pPr>
              <w:pStyle w:val="15"/>
            </w:pPr>
            <w:r>
              <w:t>行政单位医疗</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100.62</w:t>
            </w:r>
          </w:p>
        </w:tc>
        <w:tc>
          <w:tcPr>
            <w:tcW w:w="1134" w:type="dxa"/>
            <w:tcBorders>
              <w:top w:val="single" w:color="000000" w:sz="6" w:space="0"/>
              <w:left w:val="single" w:color="000000" w:sz="6" w:space="0"/>
              <w:right w:val="single" w:color="000000" w:sz="6" w:space="0"/>
            </w:tcBorders>
            <w:vAlign w:val="center"/>
          </w:tcPr>
          <w:p>
            <w:pPr>
              <w:pStyle w:val="14"/>
            </w:pPr>
            <w:r>
              <w:t>100.62</w:t>
            </w:r>
          </w:p>
        </w:tc>
        <w:tc>
          <w:tcPr>
            <w:tcW w:w="1134" w:type="dxa"/>
            <w:tcBorders>
              <w:top w:val="single" w:color="000000" w:sz="6" w:space="0"/>
              <w:left w:val="single" w:color="000000" w:sz="6" w:space="0"/>
              <w:right w:val="single" w:color="000000" w:sz="6" w:space="0"/>
            </w:tcBorders>
            <w:vAlign w:val="center"/>
          </w:tcPr>
          <w:p>
            <w:pPr>
              <w:pStyle w:val="14"/>
            </w:pPr>
            <w:r>
              <w:t>100.62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28356.33</w:t>
            </w:r>
          </w:p>
        </w:tc>
        <w:tc>
          <w:tcPr>
            <w:tcW w:w="1134" w:type="dxa"/>
            <w:tcBorders>
              <w:top w:val="single" w:color="000000" w:sz="6" w:space="0"/>
              <w:left w:val="single" w:color="000000" w:sz="6" w:space="0"/>
              <w:right w:val="single" w:color="000000" w:sz="6" w:space="0"/>
            </w:tcBorders>
            <w:vAlign w:val="center"/>
          </w:tcPr>
          <w:p>
            <w:pPr>
              <w:pStyle w:val="14"/>
            </w:pPr>
            <w:r>
              <w:t>28356.33</w:t>
            </w:r>
          </w:p>
        </w:tc>
        <w:tc>
          <w:tcPr>
            <w:tcW w:w="1134" w:type="dxa"/>
            <w:tcBorders>
              <w:top w:val="single" w:color="000000" w:sz="6" w:space="0"/>
              <w:left w:val="single" w:color="000000" w:sz="6" w:space="0"/>
              <w:right w:val="single" w:color="000000" w:sz="6" w:space="0"/>
            </w:tcBorders>
            <w:vAlign w:val="center"/>
          </w:tcPr>
          <w:p>
            <w:pPr>
              <w:pStyle w:val="14"/>
            </w:pPr>
            <w:r>
              <w:t>28356.33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28000.00</w:t>
            </w:r>
          </w:p>
        </w:tc>
        <w:tc>
          <w:tcPr>
            <w:tcW w:w="1134" w:type="dxa"/>
            <w:tcBorders>
              <w:top w:val="single" w:color="000000" w:sz="6" w:space="0"/>
              <w:left w:val="single" w:color="000000" w:sz="6" w:space="0"/>
              <w:right w:val="single" w:color="000000" w:sz="6" w:space="0"/>
            </w:tcBorders>
            <w:vAlign w:val="center"/>
          </w:tcPr>
          <w:p>
            <w:pPr>
              <w:pStyle w:val="14"/>
            </w:pPr>
            <w:r>
              <w:t>28000.00</w:t>
            </w:r>
          </w:p>
        </w:tc>
        <w:tc>
          <w:tcPr>
            <w:tcW w:w="1134" w:type="dxa"/>
            <w:tcBorders>
              <w:top w:val="single" w:color="000000" w:sz="6" w:space="0"/>
              <w:left w:val="single" w:color="000000" w:sz="6" w:space="0"/>
              <w:right w:val="single" w:color="000000" w:sz="6" w:space="0"/>
            </w:tcBorders>
            <w:vAlign w:val="center"/>
          </w:tcPr>
          <w:p>
            <w:pPr>
              <w:pStyle w:val="14"/>
            </w:pPr>
            <w:r>
              <w:t>28000.00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19500.00</w:t>
            </w:r>
          </w:p>
        </w:tc>
        <w:tc>
          <w:tcPr>
            <w:tcW w:w="1134" w:type="dxa"/>
            <w:tcBorders>
              <w:top w:val="single" w:color="000000" w:sz="6" w:space="0"/>
              <w:left w:val="single" w:color="000000" w:sz="6" w:space="0"/>
              <w:right w:val="single" w:color="000000" w:sz="6" w:space="0"/>
            </w:tcBorders>
            <w:vAlign w:val="center"/>
          </w:tcPr>
          <w:p>
            <w:pPr>
              <w:pStyle w:val="14"/>
            </w:pPr>
            <w:r>
              <w:t>19500.00</w:t>
            </w:r>
          </w:p>
        </w:tc>
        <w:tc>
          <w:tcPr>
            <w:tcW w:w="1134" w:type="dxa"/>
            <w:tcBorders>
              <w:top w:val="single" w:color="000000" w:sz="6" w:space="0"/>
              <w:left w:val="single" w:color="000000" w:sz="6" w:space="0"/>
              <w:right w:val="single" w:color="000000" w:sz="6" w:space="0"/>
            </w:tcBorders>
            <w:vAlign w:val="center"/>
          </w:tcPr>
          <w:p>
            <w:pPr>
              <w:pStyle w:val="14"/>
            </w:pPr>
            <w:r>
              <w:t>19500.00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1559" w:type="dxa"/>
            <w:tcBorders>
              <w:top w:val="single" w:color="000000" w:sz="6" w:space="0"/>
              <w:left w:val="single" w:color="000000" w:sz="6" w:space="0"/>
              <w:right w:val="single" w:color="000000" w:sz="6" w:space="0"/>
            </w:tcBorders>
            <w:vAlign w:val="center"/>
          </w:tcPr>
          <w:p>
            <w:pPr>
              <w:pStyle w:val="15"/>
            </w:pPr>
            <w:r>
              <w:t>补助被征地农民支出</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1559" w:type="dxa"/>
            <w:tcBorders>
              <w:top w:val="single" w:color="000000" w:sz="6" w:space="0"/>
              <w:left w:val="single" w:color="000000" w:sz="6" w:space="0"/>
              <w:right w:val="single" w:color="000000" w:sz="6" w:space="0"/>
            </w:tcBorders>
            <w:vAlign w:val="center"/>
          </w:tcPr>
          <w:p>
            <w:pPr>
              <w:pStyle w:val="15"/>
            </w:pPr>
            <w:r>
              <w:t>农业生产发展支出</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1559"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1559" w:type="dxa"/>
            <w:tcBorders>
              <w:top w:val="single" w:color="000000" w:sz="6" w:space="0"/>
              <w:left w:val="single" w:color="000000" w:sz="6" w:space="0"/>
              <w:right w:val="single" w:color="000000" w:sz="6" w:space="0"/>
            </w:tcBorders>
            <w:vAlign w:val="center"/>
          </w:tcPr>
          <w:p>
            <w:pPr>
              <w:pStyle w:val="15"/>
            </w:pPr>
            <w:r>
              <w:t>自然资源事务</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1559" w:type="dxa"/>
            <w:tcBorders>
              <w:top w:val="single" w:color="000000" w:sz="6" w:space="0"/>
              <w:left w:val="single" w:color="000000" w:sz="6" w:space="0"/>
              <w:right w:val="single" w:color="000000" w:sz="6" w:space="0"/>
            </w:tcBorders>
            <w:vAlign w:val="center"/>
          </w:tcPr>
          <w:p>
            <w:pPr>
              <w:pStyle w:val="15"/>
            </w:pPr>
            <w:r>
              <w:t>一般行政管理事务</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1559" w:type="dxa"/>
            <w:tcBorders>
              <w:top w:val="single" w:color="000000" w:sz="6" w:space="0"/>
              <w:left w:val="single" w:color="000000" w:sz="6" w:space="0"/>
              <w:right w:val="single" w:color="000000" w:sz="6" w:space="0"/>
            </w:tcBorders>
            <w:vAlign w:val="center"/>
          </w:tcPr>
          <w:p>
            <w:pPr>
              <w:pStyle w:val="15"/>
            </w:pPr>
            <w:r>
              <w:t>自然资源规划及管理</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1559" w:type="dxa"/>
            <w:tcBorders>
              <w:top w:val="single" w:color="000000" w:sz="6" w:space="0"/>
              <w:left w:val="single" w:color="000000" w:sz="6" w:space="0"/>
              <w:right w:val="single" w:color="000000" w:sz="6" w:space="0"/>
            </w:tcBorders>
            <w:vAlign w:val="center"/>
          </w:tcPr>
          <w:p>
            <w:pPr>
              <w:pStyle w:val="15"/>
            </w:pPr>
            <w:r>
              <w:t>自然资源利用与保护</w:t>
            </w:r>
          </w:p>
        </w:tc>
        <w:tc>
          <w:tcPr>
            <w:tcW w:w="1134" w:type="dxa"/>
            <w:tcBorders>
              <w:top w:val="single" w:color="000000" w:sz="6" w:space="0"/>
              <w:left w:val="single" w:color="000000" w:sz="6" w:space="0"/>
              <w:right w:val="single" w:color="000000" w:sz="6" w:space="0"/>
            </w:tcBorders>
            <w:vAlign w:val="center"/>
          </w:tcPr>
          <w:p>
            <w:pPr>
              <w:pStyle w:val="14"/>
            </w:pPr>
            <w:r>
              <w:t>290.15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1559"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1559" w:type="dxa"/>
            <w:tcBorders>
              <w:top w:val="single" w:color="000000" w:sz="6" w:space="0"/>
              <w:left w:val="single" w:color="000000" w:sz="6" w:space="0"/>
              <w:right w:val="single" w:color="000000" w:sz="6" w:space="0"/>
            </w:tcBorders>
            <w:vAlign w:val="center"/>
          </w:tcPr>
          <w:p>
            <w:pPr>
              <w:pStyle w:val="15"/>
            </w:pPr>
            <w:r>
              <w:t>海域与海岛管理</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1559" w:type="dxa"/>
            <w:tcBorders>
              <w:top w:val="single" w:color="000000" w:sz="6" w:space="0"/>
              <w:left w:val="single" w:color="000000" w:sz="6" w:space="0"/>
              <w:right w:val="single" w:color="000000" w:sz="6" w:space="0"/>
            </w:tcBorders>
            <w:vAlign w:val="center"/>
          </w:tcPr>
          <w:p>
            <w:pPr>
              <w:pStyle w:val="15"/>
            </w:pPr>
            <w:r>
              <w:t>事业运行</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1559"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r>
              <w:t>119.04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1559" w:type="dxa"/>
            <w:tcBorders>
              <w:top w:val="single" w:color="000000" w:sz="6" w:space="0"/>
              <w:left w:val="single" w:color="000000" w:sz="6" w:space="0"/>
              <w:right w:val="single" w:color="000000" w:sz="6" w:space="0"/>
            </w:tcBorders>
            <w:vAlign w:val="center"/>
          </w:tcPr>
          <w:p>
            <w:pPr>
              <w:pStyle w:val="15"/>
            </w:pPr>
            <w:r>
              <w:t>其他支出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1559"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1559"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31360.24</w:t>
            </w:r>
          </w:p>
        </w:tc>
        <w:tc>
          <w:tcPr>
            <w:tcW w:w="1361" w:type="dxa"/>
            <w:tcBorders>
              <w:top w:val="single" w:color="000000" w:sz="6" w:space="0"/>
              <w:left w:val="single" w:color="000000" w:sz="6" w:space="0"/>
              <w:right w:val="single" w:color="000000" w:sz="6" w:space="0"/>
            </w:tcBorders>
            <w:vAlign w:val="center"/>
          </w:tcPr>
          <w:p>
            <w:pPr>
              <w:pStyle w:val="18"/>
            </w:pPr>
            <w:r>
              <w:t>2255.43</w:t>
            </w:r>
          </w:p>
        </w:tc>
        <w:tc>
          <w:tcPr>
            <w:tcW w:w="1361" w:type="dxa"/>
            <w:tcBorders>
              <w:top w:val="single" w:color="000000" w:sz="6" w:space="0"/>
              <w:left w:val="single" w:color="000000" w:sz="6" w:space="0"/>
              <w:right w:val="single" w:color="000000" w:sz="6" w:space="0"/>
            </w:tcBorders>
            <w:vAlign w:val="center"/>
          </w:tcPr>
          <w:p>
            <w:pPr>
              <w:pStyle w:val="18"/>
            </w:pPr>
            <w:r>
              <w:t>29104.81</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326.40</w:t>
            </w:r>
          </w:p>
        </w:tc>
        <w:tc>
          <w:tcPr>
            <w:tcW w:w="1361" w:type="dxa"/>
            <w:tcBorders>
              <w:top w:val="single" w:color="000000" w:sz="6" w:space="0"/>
              <w:left w:val="single" w:color="000000" w:sz="6" w:space="0"/>
              <w:right w:val="single" w:color="000000" w:sz="6" w:space="0"/>
            </w:tcBorders>
            <w:vAlign w:val="center"/>
          </w:tcPr>
          <w:p>
            <w:pPr>
              <w:pStyle w:val="14"/>
            </w:pPr>
            <w:r>
              <w:t>326.40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326.40</w:t>
            </w:r>
          </w:p>
        </w:tc>
        <w:tc>
          <w:tcPr>
            <w:tcW w:w="1361" w:type="dxa"/>
            <w:tcBorders>
              <w:top w:val="single" w:color="000000" w:sz="6" w:space="0"/>
              <w:left w:val="single" w:color="000000" w:sz="6" w:space="0"/>
              <w:right w:val="single" w:color="000000" w:sz="6" w:space="0"/>
            </w:tcBorders>
            <w:vAlign w:val="center"/>
          </w:tcPr>
          <w:p>
            <w:pPr>
              <w:pStyle w:val="14"/>
            </w:pPr>
            <w:r>
              <w:t>326.40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238.08</w:t>
            </w:r>
          </w:p>
        </w:tc>
        <w:tc>
          <w:tcPr>
            <w:tcW w:w="1361" w:type="dxa"/>
            <w:tcBorders>
              <w:top w:val="single" w:color="000000" w:sz="6" w:space="0"/>
              <w:left w:val="single" w:color="000000" w:sz="6" w:space="0"/>
              <w:right w:val="single" w:color="000000" w:sz="6" w:space="0"/>
            </w:tcBorders>
            <w:vAlign w:val="center"/>
          </w:tcPr>
          <w:p>
            <w:pPr>
              <w:pStyle w:val="14"/>
            </w:pPr>
            <w:r>
              <w:t>238.08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88.31</w:t>
            </w:r>
          </w:p>
        </w:tc>
        <w:tc>
          <w:tcPr>
            <w:tcW w:w="1361" w:type="dxa"/>
            <w:tcBorders>
              <w:top w:val="single" w:color="000000" w:sz="6" w:space="0"/>
              <w:left w:val="single" w:color="000000" w:sz="6" w:space="0"/>
              <w:right w:val="single" w:color="000000" w:sz="6" w:space="0"/>
            </w:tcBorders>
            <w:vAlign w:val="center"/>
          </w:tcPr>
          <w:p>
            <w:pPr>
              <w:pStyle w:val="14"/>
            </w:pPr>
            <w:r>
              <w:t>88.31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110.27</w:t>
            </w:r>
          </w:p>
        </w:tc>
        <w:tc>
          <w:tcPr>
            <w:tcW w:w="1361" w:type="dxa"/>
            <w:tcBorders>
              <w:top w:val="single" w:color="000000" w:sz="6" w:space="0"/>
              <w:left w:val="single" w:color="000000" w:sz="6" w:space="0"/>
              <w:right w:val="single" w:color="000000" w:sz="6" w:space="0"/>
            </w:tcBorders>
            <w:vAlign w:val="center"/>
          </w:tcPr>
          <w:p>
            <w:pPr>
              <w:pStyle w:val="14"/>
            </w:pPr>
            <w:r>
              <w:t>110.27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110.27</w:t>
            </w:r>
          </w:p>
        </w:tc>
        <w:tc>
          <w:tcPr>
            <w:tcW w:w="1361" w:type="dxa"/>
            <w:tcBorders>
              <w:top w:val="single" w:color="000000" w:sz="6" w:space="0"/>
              <w:left w:val="single" w:color="000000" w:sz="6" w:space="0"/>
              <w:right w:val="single" w:color="000000" w:sz="6" w:space="0"/>
            </w:tcBorders>
            <w:vAlign w:val="center"/>
          </w:tcPr>
          <w:p>
            <w:pPr>
              <w:pStyle w:val="14"/>
            </w:pPr>
            <w:r>
              <w:t>110.27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100.62</w:t>
            </w:r>
          </w:p>
        </w:tc>
        <w:tc>
          <w:tcPr>
            <w:tcW w:w="1361" w:type="dxa"/>
            <w:tcBorders>
              <w:top w:val="single" w:color="000000" w:sz="6" w:space="0"/>
              <w:left w:val="single" w:color="000000" w:sz="6" w:space="0"/>
              <w:right w:val="single" w:color="000000" w:sz="6" w:space="0"/>
            </w:tcBorders>
            <w:vAlign w:val="center"/>
          </w:tcPr>
          <w:p>
            <w:pPr>
              <w:pStyle w:val="14"/>
            </w:pPr>
            <w:r>
              <w:t>100.62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28356.33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28000.00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28000.00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19500.00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19500.00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521.34</w:t>
            </w:r>
          </w:p>
        </w:tc>
        <w:tc>
          <w:tcPr>
            <w:tcW w:w="1361" w:type="dxa"/>
            <w:tcBorders>
              <w:top w:val="single" w:color="000000" w:sz="6" w:space="0"/>
              <w:left w:val="single" w:color="000000" w:sz="6" w:space="0"/>
              <w:right w:val="single" w:color="000000" w:sz="6" w:space="0"/>
            </w:tcBorders>
            <w:vAlign w:val="center"/>
          </w:tcPr>
          <w:p>
            <w:pPr>
              <w:pStyle w:val="14"/>
            </w:pPr>
            <w:r>
              <w:t>306.17</w:t>
            </w:r>
          </w:p>
        </w:tc>
        <w:tc>
          <w:tcPr>
            <w:tcW w:w="1361" w:type="dxa"/>
            <w:tcBorders>
              <w:top w:val="single" w:color="000000" w:sz="6" w:space="0"/>
              <w:left w:val="single" w:color="000000" w:sz="6" w:space="0"/>
              <w:right w:val="single" w:color="000000" w:sz="6" w:space="0"/>
            </w:tcBorders>
            <w:vAlign w:val="center"/>
          </w:tcPr>
          <w:p>
            <w:pPr>
              <w:pStyle w:val="14"/>
            </w:pPr>
            <w:r>
              <w:t>215.17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r>
              <w:t>119.04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3188.24</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28000.00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326.40</w:t>
            </w:r>
          </w:p>
        </w:tc>
        <w:tc>
          <w:tcPr>
            <w:tcW w:w="1474" w:type="dxa"/>
            <w:tcBorders>
              <w:top w:val="single" w:color="000000" w:sz="6" w:space="0"/>
              <w:left w:val="single" w:color="000000" w:sz="6" w:space="0"/>
              <w:right w:val="single" w:color="000000" w:sz="6" w:space="0"/>
            </w:tcBorders>
            <w:vAlign w:val="center"/>
          </w:tcPr>
          <w:p>
            <w:pPr>
              <w:pStyle w:val="14"/>
            </w:pPr>
            <w:r>
              <w:t>326.40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110.27</w:t>
            </w:r>
          </w:p>
        </w:tc>
        <w:tc>
          <w:tcPr>
            <w:tcW w:w="1474" w:type="dxa"/>
            <w:tcBorders>
              <w:top w:val="single" w:color="000000" w:sz="6" w:space="0"/>
              <w:left w:val="single" w:color="000000" w:sz="6" w:space="0"/>
              <w:right w:val="single" w:color="000000" w:sz="6" w:space="0"/>
            </w:tcBorders>
            <w:vAlign w:val="center"/>
          </w:tcPr>
          <w:p>
            <w:pPr>
              <w:pStyle w:val="14"/>
            </w:pPr>
            <w:r>
              <w:t>110.27</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28356.33</w:t>
            </w:r>
          </w:p>
        </w:tc>
        <w:tc>
          <w:tcPr>
            <w:tcW w:w="1474" w:type="dxa"/>
            <w:tcBorders>
              <w:top w:val="single" w:color="000000" w:sz="6" w:space="0"/>
              <w:left w:val="single" w:color="000000" w:sz="6" w:space="0"/>
              <w:right w:val="single" w:color="000000" w:sz="6" w:space="0"/>
            </w:tcBorders>
            <w:vAlign w:val="center"/>
          </w:tcPr>
          <w:p>
            <w:pPr>
              <w:pStyle w:val="14"/>
            </w:pPr>
            <w:r>
              <w:t>356.33</w:t>
            </w:r>
          </w:p>
        </w:tc>
        <w:tc>
          <w:tcPr>
            <w:tcW w:w="1474" w:type="dxa"/>
            <w:tcBorders>
              <w:top w:val="single" w:color="000000" w:sz="6" w:space="0"/>
              <w:left w:val="single" w:color="000000" w:sz="6" w:space="0"/>
              <w:right w:val="single" w:color="000000" w:sz="6" w:space="0"/>
            </w:tcBorders>
            <w:vAlign w:val="center"/>
          </w:tcPr>
          <w:p>
            <w:pPr>
              <w:pStyle w:val="14"/>
            </w:pPr>
            <w:r>
              <w:t>28000.00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119.04</w:t>
            </w:r>
          </w:p>
        </w:tc>
        <w:tc>
          <w:tcPr>
            <w:tcW w:w="1474" w:type="dxa"/>
            <w:tcBorders>
              <w:top w:val="single" w:color="000000" w:sz="6" w:space="0"/>
              <w:left w:val="single" w:color="000000" w:sz="6" w:space="0"/>
              <w:right w:val="single" w:color="000000" w:sz="6" w:space="0"/>
            </w:tcBorders>
            <w:vAlign w:val="center"/>
          </w:tcPr>
          <w:p>
            <w:pPr>
              <w:pStyle w:val="14"/>
            </w:pPr>
            <w:r>
              <w:t>119.04</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31188.24</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31360.24</w:t>
            </w:r>
          </w:p>
        </w:tc>
        <w:tc>
          <w:tcPr>
            <w:tcW w:w="1474" w:type="dxa"/>
            <w:tcBorders>
              <w:top w:val="single" w:color="000000" w:sz="6" w:space="0"/>
              <w:left w:val="single" w:color="000000" w:sz="6" w:space="0"/>
              <w:right w:val="single" w:color="000000" w:sz="6" w:space="0"/>
            </w:tcBorders>
            <w:vAlign w:val="center"/>
          </w:tcPr>
          <w:p>
            <w:pPr>
              <w:pStyle w:val="18"/>
            </w:pPr>
            <w:r>
              <w:t>3332.24</w:t>
            </w:r>
          </w:p>
        </w:tc>
        <w:tc>
          <w:tcPr>
            <w:tcW w:w="1474" w:type="dxa"/>
            <w:tcBorders>
              <w:top w:val="single" w:color="000000" w:sz="6" w:space="0"/>
              <w:left w:val="single" w:color="000000" w:sz="6" w:space="0"/>
              <w:right w:val="single" w:color="000000" w:sz="6" w:space="0"/>
            </w:tcBorders>
            <w:vAlign w:val="center"/>
          </w:tcPr>
          <w:p>
            <w:pPr>
              <w:pStyle w:val="18"/>
            </w:pPr>
            <w:r>
              <w:t>28028.00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172.00</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144.00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31360.24</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31360.24</w:t>
            </w:r>
          </w:p>
        </w:tc>
        <w:tc>
          <w:tcPr>
            <w:tcW w:w="1474" w:type="dxa"/>
            <w:tcBorders>
              <w:top w:val="single" w:color="000000" w:sz="6" w:space="0"/>
              <w:left w:val="single" w:color="000000" w:sz="6" w:space="0"/>
              <w:right w:val="single" w:color="000000" w:sz="6" w:space="0"/>
            </w:tcBorders>
            <w:vAlign w:val="center"/>
          </w:tcPr>
          <w:p>
            <w:pPr>
              <w:pStyle w:val="18"/>
            </w:pPr>
            <w:r>
              <w:t>3332.24</w:t>
            </w:r>
          </w:p>
        </w:tc>
        <w:tc>
          <w:tcPr>
            <w:tcW w:w="1474" w:type="dxa"/>
            <w:tcBorders>
              <w:top w:val="single" w:color="000000" w:sz="6" w:space="0"/>
              <w:left w:val="single" w:color="000000" w:sz="6" w:space="0"/>
              <w:right w:val="single" w:color="000000" w:sz="6" w:space="0"/>
            </w:tcBorders>
            <w:vAlign w:val="center"/>
          </w:tcPr>
          <w:p>
            <w:pPr>
              <w:pStyle w:val="18"/>
            </w:pPr>
            <w:r>
              <w:t>28028.00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3332.24</w:t>
            </w:r>
          </w:p>
        </w:tc>
        <w:tc>
          <w:tcPr>
            <w:tcW w:w="2551" w:type="dxa"/>
            <w:tcBorders>
              <w:top w:val="single" w:color="000000" w:sz="6" w:space="0"/>
              <w:left w:val="single" w:color="000000" w:sz="6" w:space="0"/>
              <w:right w:val="single" w:color="000000" w:sz="6" w:space="0"/>
            </w:tcBorders>
            <w:vAlign w:val="center"/>
          </w:tcPr>
          <w:p>
            <w:pPr>
              <w:pStyle w:val="18"/>
            </w:pPr>
            <w:r>
              <w:t>2255.43</w:t>
            </w:r>
          </w:p>
        </w:tc>
        <w:tc>
          <w:tcPr>
            <w:tcW w:w="2551" w:type="dxa"/>
            <w:vAlign w:val="center"/>
          </w:tcPr>
          <w:p>
            <w:pPr>
              <w:pStyle w:val="18"/>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326.40</w:t>
            </w:r>
          </w:p>
        </w:tc>
        <w:tc>
          <w:tcPr>
            <w:tcW w:w="2551" w:type="dxa"/>
            <w:tcBorders>
              <w:top w:val="single" w:color="000000" w:sz="6" w:space="0"/>
              <w:left w:val="single" w:color="000000" w:sz="6" w:space="0"/>
              <w:right w:val="single" w:color="000000" w:sz="6" w:space="0"/>
            </w:tcBorders>
            <w:vAlign w:val="center"/>
          </w:tcPr>
          <w:p>
            <w:pPr>
              <w:pStyle w:val="14"/>
            </w:pPr>
            <w:r>
              <w:t>326.40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326.40</w:t>
            </w:r>
          </w:p>
        </w:tc>
        <w:tc>
          <w:tcPr>
            <w:tcW w:w="2551" w:type="dxa"/>
            <w:tcBorders>
              <w:top w:val="single" w:color="000000" w:sz="6" w:space="0"/>
              <w:left w:val="single" w:color="000000" w:sz="6" w:space="0"/>
              <w:right w:val="single" w:color="000000" w:sz="6" w:space="0"/>
            </w:tcBorders>
            <w:vAlign w:val="center"/>
          </w:tcPr>
          <w:p>
            <w:pPr>
              <w:pStyle w:val="14"/>
            </w:pPr>
            <w:r>
              <w:t>326.40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238.08</w:t>
            </w:r>
          </w:p>
        </w:tc>
        <w:tc>
          <w:tcPr>
            <w:tcW w:w="2551" w:type="dxa"/>
            <w:tcBorders>
              <w:top w:val="single" w:color="000000" w:sz="6" w:space="0"/>
              <w:left w:val="single" w:color="000000" w:sz="6" w:space="0"/>
              <w:right w:val="single" w:color="000000" w:sz="6" w:space="0"/>
            </w:tcBorders>
            <w:vAlign w:val="center"/>
          </w:tcPr>
          <w:p>
            <w:pPr>
              <w:pStyle w:val="14"/>
            </w:pPr>
            <w:r>
              <w:t>238.08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88.31</w:t>
            </w:r>
          </w:p>
        </w:tc>
        <w:tc>
          <w:tcPr>
            <w:tcW w:w="2551" w:type="dxa"/>
            <w:tcBorders>
              <w:top w:val="single" w:color="000000" w:sz="6" w:space="0"/>
              <w:left w:val="single" w:color="000000" w:sz="6" w:space="0"/>
              <w:right w:val="single" w:color="000000" w:sz="6" w:space="0"/>
            </w:tcBorders>
            <w:vAlign w:val="center"/>
          </w:tcPr>
          <w:p>
            <w:pPr>
              <w:pStyle w:val="14"/>
            </w:pPr>
            <w:r>
              <w:t>88.31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100.62</w:t>
            </w:r>
          </w:p>
        </w:tc>
        <w:tc>
          <w:tcPr>
            <w:tcW w:w="2551" w:type="dxa"/>
            <w:tcBorders>
              <w:top w:val="single" w:color="000000" w:sz="6" w:space="0"/>
              <w:left w:val="single" w:color="000000" w:sz="6" w:space="0"/>
              <w:right w:val="single" w:color="000000" w:sz="6" w:space="0"/>
            </w:tcBorders>
            <w:vAlign w:val="center"/>
          </w:tcPr>
          <w:p>
            <w:pPr>
              <w:pStyle w:val="14"/>
            </w:pPr>
            <w:r>
              <w:t>100.62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521.34</w:t>
            </w:r>
          </w:p>
        </w:tc>
        <w:tc>
          <w:tcPr>
            <w:tcW w:w="2551" w:type="dxa"/>
            <w:tcBorders>
              <w:top w:val="single" w:color="000000" w:sz="6" w:space="0"/>
              <w:left w:val="single" w:color="000000" w:sz="6" w:space="0"/>
              <w:right w:val="single" w:color="000000" w:sz="6" w:space="0"/>
            </w:tcBorders>
            <w:vAlign w:val="center"/>
          </w:tcPr>
          <w:p>
            <w:pPr>
              <w:pStyle w:val="14"/>
            </w:pPr>
            <w:r>
              <w:t>306.17</w:t>
            </w:r>
          </w:p>
        </w:tc>
        <w:tc>
          <w:tcPr>
            <w:tcW w:w="2551" w:type="dxa"/>
            <w:vAlign w:val="center"/>
          </w:tcPr>
          <w:p>
            <w:pPr>
              <w:pStyle w:val="14"/>
            </w:pPr>
            <w:r>
              <w:t>215.17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2551" w:type="dxa"/>
            <w:tcBorders>
              <w:top w:val="single" w:color="000000" w:sz="6" w:space="0"/>
              <w:left w:val="single" w:color="000000" w:sz="6" w:space="0"/>
              <w:right w:val="single" w:color="000000" w:sz="6" w:space="0"/>
            </w:tcBorders>
            <w:vAlign w:val="center"/>
          </w:tcPr>
          <w:p>
            <w:pPr>
              <w:pStyle w:val="14"/>
            </w:pPr>
            <w:r>
              <w:t>167.64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2551" w:type="dxa"/>
            <w:tcBorders>
              <w:top w:val="single" w:color="000000" w:sz="6" w:space="0"/>
              <w:left w:val="single" w:color="000000" w:sz="6" w:space="0"/>
              <w:right w:val="single" w:color="000000" w:sz="6" w:space="0"/>
            </w:tcBorders>
            <w:vAlign w:val="center"/>
          </w:tcPr>
          <w:p>
            <w:pPr>
              <w:pStyle w:val="14"/>
            </w:pPr>
            <w:r>
              <w:t>208.40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2551" w:type="dxa"/>
            <w:tcBorders>
              <w:top w:val="single" w:color="000000" w:sz="6" w:space="0"/>
              <w:left w:val="single" w:color="000000" w:sz="6" w:space="0"/>
              <w:right w:val="single" w:color="000000" w:sz="6" w:space="0"/>
            </w:tcBorders>
            <w:vAlign w:val="center"/>
          </w:tcPr>
          <w:p>
            <w:pPr>
              <w:pStyle w:val="14"/>
            </w:pPr>
            <w:r>
              <w:t>290.15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2551" w:type="dxa"/>
            <w:tcBorders>
              <w:top w:val="single" w:color="000000" w:sz="6" w:space="0"/>
              <w:left w:val="single" w:color="000000" w:sz="6" w:space="0"/>
              <w:right w:val="single" w:color="000000" w:sz="6" w:space="0"/>
            </w:tcBorders>
            <w:vAlign w:val="center"/>
          </w:tcPr>
          <w:p>
            <w:pPr>
              <w:pStyle w:val="14"/>
            </w:pPr>
            <w:r>
              <w:t>142.95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2551" w:type="dxa"/>
            <w:tcBorders>
              <w:top w:val="single" w:color="000000" w:sz="6" w:space="0"/>
              <w:left w:val="single" w:color="000000" w:sz="6" w:space="0"/>
              <w:right w:val="single" w:color="000000" w:sz="6" w:space="0"/>
            </w:tcBorders>
            <w:vAlign w:val="center"/>
          </w:tcPr>
          <w:p>
            <w:pPr>
              <w:pStyle w:val="14"/>
            </w:pPr>
            <w:r>
              <w:t>36.50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2551" w:type="dxa"/>
            <w:tcBorders>
              <w:top w:val="single" w:color="000000" w:sz="6" w:space="0"/>
              <w:left w:val="single" w:color="000000" w:sz="6" w:space="0"/>
              <w:right w:val="single" w:color="000000" w:sz="6" w:space="0"/>
            </w:tcBorders>
            <w:vAlign w:val="center"/>
          </w:tcPr>
          <w:p>
            <w:pPr>
              <w:pStyle w:val="14"/>
            </w:pPr>
            <w:r>
              <w:t>16.00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2255.43</w:t>
            </w:r>
          </w:p>
        </w:tc>
        <w:tc>
          <w:tcPr>
            <w:tcW w:w="2551" w:type="dxa"/>
            <w:tcBorders>
              <w:top w:val="single" w:color="000000" w:sz="6" w:space="0"/>
              <w:left w:val="single" w:color="000000" w:sz="6" w:space="0"/>
              <w:right w:val="single" w:color="000000" w:sz="6" w:space="0"/>
            </w:tcBorders>
            <w:vAlign w:val="center"/>
          </w:tcPr>
          <w:p>
            <w:pPr>
              <w:pStyle w:val="18"/>
            </w:pPr>
            <w:r>
              <w:t>2157.91</w:t>
            </w:r>
          </w:p>
        </w:tc>
        <w:tc>
          <w:tcPr>
            <w:tcW w:w="2551" w:type="dxa"/>
            <w:vAlign w:val="center"/>
          </w:tcPr>
          <w:p>
            <w:pPr>
              <w:pStyle w:val="18"/>
            </w:pPr>
            <w:r>
              <w:t>97.52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2051.29</w:t>
            </w:r>
          </w:p>
        </w:tc>
        <w:tc>
          <w:tcPr>
            <w:tcW w:w="2551" w:type="dxa"/>
            <w:tcBorders>
              <w:top w:val="single" w:color="000000" w:sz="6" w:space="0"/>
              <w:left w:val="single" w:color="000000" w:sz="6" w:space="0"/>
              <w:right w:val="single" w:color="000000" w:sz="6" w:space="0"/>
            </w:tcBorders>
            <w:vAlign w:val="center"/>
          </w:tcPr>
          <w:p>
            <w:pPr>
              <w:pStyle w:val="14"/>
            </w:pPr>
            <w:r>
              <w:t>2051.29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918.25</w:t>
            </w:r>
          </w:p>
        </w:tc>
        <w:tc>
          <w:tcPr>
            <w:tcW w:w="2551" w:type="dxa"/>
            <w:tcBorders>
              <w:top w:val="single" w:color="000000" w:sz="6" w:space="0"/>
              <w:left w:val="single" w:color="000000" w:sz="6" w:space="0"/>
              <w:right w:val="single" w:color="000000" w:sz="6" w:space="0"/>
            </w:tcBorders>
            <w:vAlign w:val="center"/>
          </w:tcPr>
          <w:p>
            <w:pPr>
              <w:pStyle w:val="14"/>
            </w:pPr>
            <w:r>
              <w:t>918.25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111.84</w:t>
            </w:r>
          </w:p>
        </w:tc>
        <w:tc>
          <w:tcPr>
            <w:tcW w:w="2551" w:type="dxa"/>
            <w:tcBorders>
              <w:top w:val="single" w:color="000000" w:sz="6" w:space="0"/>
              <w:left w:val="single" w:color="000000" w:sz="6" w:space="0"/>
              <w:right w:val="single" w:color="000000" w:sz="6" w:space="0"/>
            </w:tcBorders>
            <w:vAlign w:val="center"/>
          </w:tcPr>
          <w:p>
            <w:pPr>
              <w:pStyle w:val="14"/>
            </w:pPr>
            <w:r>
              <w:t>111.84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433.23</w:t>
            </w:r>
          </w:p>
        </w:tc>
        <w:tc>
          <w:tcPr>
            <w:tcW w:w="2551" w:type="dxa"/>
            <w:tcBorders>
              <w:top w:val="single" w:color="000000" w:sz="6" w:space="0"/>
              <w:left w:val="single" w:color="000000" w:sz="6" w:space="0"/>
              <w:right w:val="single" w:color="000000" w:sz="6" w:space="0"/>
            </w:tcBorders>
            <w:vAlign w:val="center"/>
          </w:tcPr>
          <w:p>
            <w:pPr>
              <w:pStyle w:val="14"/>
            </w:pPr>
            <w:r>
              <w:t>433.23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238.08</w:t>
            </w:r>
          </w:p>
        </w:tc>
        <w:tc>
          <w:tcPr>
            <w:tcW w:w="2551" w:type="dxa"/>
            <w:tcBorders>
              <w:top w:val="single" w:color="000000" w:sz="6" w:space="0"/>
              <w:left w:val="single" w:color="000000" w:sz="6" w:space="0"/>
              <w:right w:val="single" w:color="000000" w:sz="6" w:space="0"/>
            </w:tcBorders>
            <w:vAlign w:val="center"/>
          </w:tcPr>
          <w:p>
            <w:pPr>
              <w:pStyle w:val="14"/>
            </w:pPr>
            <w:r>
              <w:t>238.08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88.31</w:t>
            </w:r>
          </w:p>
        </w:tc>
        <w:tc>
          <w:tcPr>
            <w:tcW w:w="2551" w:type="dxa"/>
            <w:tcBorders>
              <w:top w:val="single" w:color="000000" w:sz="6" w:space="0"/>
              <w:left w:val="single" w:color="000000" w:sz="6" w:space="0"/>
              <w:right w:val="single" w:color="000000" w:sz="6" w:space="0"/>
            </w:tcBorders>
            <w:vAlign w:val="center"/>
          </w:tcPr>
          <w:p>
            <w:pPr>
              <w:pStyle w:val="14"/>
            </w:pPr>
            <w:r>
              <w:t>88.31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tcBorders>
              <w:top w:val="single" w:color="000000" w:sz="6" w:space="0"/>
              <w:left w:val="single" w:color="000000" w:sz="6" w:space="0"/>
              <w:right w:val="single" w:color="000000" w:sz="6" w:space="0"/>
            </w:tcBorders>
            <w:vAlign w:val="center"/>
          </w:tcPr>
          <w:p>
            <w:pPr>
              <w:pStyle w:val="14"/>
            </w:pPr>
            <w:r>
              <w:t>110.27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15.12</w:t>
            </w:r>
          </w:p>
        </w:tc>
        <w:tc>
          <w:tcPr>
            <w:tcW w:w="2551" w:type="dxa"/>
            <w:tcBorders>
              <w:top w:val="single" w:color="000000" w:sz="6" w:space="0"/>
              <w:left w:val="single" w:color="000000" w:sz="6" w:space="0"/>
              <w:right w:val="single" w:color="000000" w:sz="6" w:space="0"/>
            </w:tcBorders>
            <w:vAlign w:val="center"/>
          </w:tcPr>
          <w:p>
            <w:pPr>
              <w:pStyle w:val="14"/>
            </w:pPr>
            <w:r>
              <w:t>15.12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tcBorders>
              <w:top w:val="single" w:color="000000" w:sz="6" w:space="0"/>
              <w:left w:val="single" w:color="000000" w:sz="6" w:space="0"/>
              <w:right w:val="single" w:color="000000" w:sz="6" w:space="0"/>
            </w:tcBorders>
            <w:vAlign w:val="center"/>
          </w:tcPr>
          <w:p>
            <w:pPr>
              <w:pStyle w:val="14"/>
            </w:pPr>
            <w:r>
              <w:t>119.04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97.52</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97.52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38.20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15.33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32.40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30239</w:t>
            </w:r>
          </w:p>
        </w:tc>
        <w:tc>
          <w:tcPr>
            <w:tcW w:w="4535" w:type="dxa"/>
            <w:tcBorders>
              <w:top w:val="single" w:color="000000" w:sz="6" w:space="0"/>
              <w:left w:val="single" w:color="000000" w:sz="6" w:space="0"/>
              <w:right w:val="single" w:color="000000" w:sz="6" w:space="0"/>
            </w:tcBorders>
            <w:vAlign w:val="center"/>
          </w:tcPr>
          <w:p>
            <w:pPr>
              <w:pStyle w:val="15"/>
            </w:pPr>
            <w:r>
              <w:t>其他交通费用</w:t>
            </w:r>
          </w:p>
        </w:tc>
        <w:tc>
          <w:tcPr>
            <w:tcW w:w="2551" w:type="dxa"/>
            <w:tcBorders>
              <w:top w:val="single" w:color="000000" w:sz="6" w:space="0"/>
              <w:left w:val="single" w:color="000000" w:sz="6" w:space="0"/>
              <w:right w:val="single" w:color="000000" w:sz="6" w:space="0"/>
            </w:tcBorders>
            <w:vAlign w:val="center"/>
          </w:tcPr>
          <w:p>
            <w:pPr>
              <w:pStyle w:val="14"/>
            </w:pPr>
            <w:r>
              <w:t>10.50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30299</w:t>
            </w:r>
          </w:p>
        </w:tc>
        <w:tc>
          <w:tcPr>
            <w:tcW w:w="4535" w:type="dxa"/>
            <w:tcBorders>
              <w:top w:val="single" w:color="000000" w:sz="6" w:space="0"/>
              <w:left w:val="single" w:color="000000" w:sz="6" w:space="0"/>
              <w:right w:val="single" w:color="000000" w:sz="6" w:space="0"/>
            </w:tcBorders>
            <w:vAlign w:val="center"/>
          </w:tcPr>
          <w:p>
            <w:pPr>
              <w:pStyle w:val="15"/>
            </w:pPr>
            <w:r>
              <w:t>其他商品和服务支出</w:t>
            </w:r>
          </w:p>
        </w:tc>
        <w:tc>
          <w:tcPr>
            <w:tcW w:w="2551" w:type="dxa"/>
            <w:tcBorders>
              <w:top w:val="single" w:color="000000" w:sz="6" w:space="0"/>
              <w:left w:val="single" w:color="000000" w:sz="6" w:space="0"/>
              <w:right w:val="single" w:color="000000" w:sz="6" w:space="0"/>
            </w:tcBorders>
            <w:vAlign w:val="center"/>
          </w:tcPr>
          <w:p>
            <w:pPr>
              <w:pStyle w:val="14"/>
            </w:pPr>
            <w:r>
              <w:t>1.09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106.62</w:t>
            </w:r>
          </w:p>
        </w:tc>
        <w:tc>
          <w:tcPr>
            <w:tcW w:w="2551" w:type="dxa"/>
            <w:tcBorders>
              <w:top w:val="single" w:color="000000" w:sz="6" w:space="0"/>
              <w:left w:val="single" w:color="000000" w:sz="6" w:space="0"/>
              <w:right w:val="single" w:color="000000" w:sz="6" w:space="0"/>
            </w:tcBorders>
            <w:vAlign w:val="center"/>
          </w:tcPr>
          <w:p>
            <w:pPr>
              <w:pStyle w:val="14"/>
            </w:pPr>
            <w:r>
              <w:t>106.62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90.65</w:t>
            </w:r>
          </w:p>
        </w:tc>
        <w:tc>
          <w:tcPr>
            <w:tcW w:w="2551" w:type="dxa"/>
            <w:tcBorders>
              <w:top w:val="single" w:color="000000" w:sz="6" w:space="0"/>
              <w:left w:val="single" w:color="000000" w:sz="6" w:space="0"/>
              <w:right w:val="single" w:color="000000" w:sz="6" w:space="0"/>
            </w:tcBorders>
            <w:vAlign w:val="center"/>
          </w:tcPr>
          <w:p>
            <w:pPr>
              <w:pStyle w:val="14"/>
            </w:pPr>
            <w:r>
              <w:t>90.65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30304</w:t>
            </w:r>
          </w:p>
        </w:tc>
        <w:tc>
          <w:tcPr>
            <w:tcW w:w="4535" w:type="dxa"/>
            <w:tcBorders>
              <w:top w:val="single" w:color="000000" w:sz="6" w:space="0"/>
              <w:left w:val="single" w:color="000000" w:sz="6" w:space="0"/>
              <w:right w:val="single" w:color="000000" w:sz="6" w:space="0"/>
            </w:tcBorders>
            <w:vAlign w:val="center"/>
          </w:tcPr>
          <w:p>
            <w:pPr>
              <w:pStyle w:val="15"/>
            </w:pPr>
            <w:r>
              <w:t>抚恤金</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9.97</w:t>
            </w:r>
          </w:p>
        </w:tc>
        <w:tc>
          <w:tcPr>
            <w:tcW w:w="2551" w:type="dxa"/>
            <w:tcBorders>
              <w:top w:val="single" w:color="000000" w:sz="6" w:space="0"/>
              <w:left w:val="single" w:color="000000" w:sz="6" w:space="0"/>
              <w:right w:val="single" w:color="000000" w:sz="6" w:space="0"/>
            </w:tcBorders>
            <w:vAlign w:val="center"/>
          </w:tcPr>
          <w:p>
            <w:pPr>
              <w:pStyle w:val="14"/>
            </w:pPr>
            <w:r>
              <w:t>9.97</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28028.00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28028.00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28000.00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28000.00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19500.00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2551" w:type="dxa"/>
            <w:tcBorders>
              <w:top w:val="single" w:color="000000" w:sz="6" w:space="0"/>
              <w:left w:val="single" w:color="000000" w:sz="6" w:space="0"/>
              <w:right w:val="single" w:color="000000" w:sz="6" w:space="0"/>
            </w:tcBorders>
            <w:vAlign w:val="center"/>
          </w:tcPr>
          <w:p>
            <w:pPr>
              <w:pStyle w:val="14"/>
            </w:pPr>
            <w:r>
              <w:t>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2551" w:type="dxa"/>
            <w:tcBorders>
              <w:top w:val="single" w:color="000000" w:sz="6" w:space="0"/>
              <w:left w:val="single" w:color="000000" w:sz="6" w:space="0"/>
              <w:right w:val="single" w:color="000000" w:sz="6" w:space="0"/>
            </w:tcBorders>
            <w:vAlign w:val="center"/>
          </w:tcPr>
          <w:p>
            <w:pPr>
              <w:pStyle w:val="14"/>
            </w:pPr>
            <w:r>
              <w:t>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81.25</w:t>
            </w:r>
          </w:p>
        </w:tc>
        <w:tc>
          <w:tcPr>
            <w:tcW w:w="2381" w:type="dxa"/>
            <w:tcBorders>
              <w:top w:val="single" w:color="000000" w:sz="6" w:space="0"/>
              <w:left w:val="single" w:color="000000" w:sz="6" w:space="0"/>
              <w:right w:val="single" w:color="000000" w:sz="6" w:space="0"/>
            </w:tcBorders>
            <w:vAlign w:val="center"/>
          </w:tcPr>
          <w:p>
            <w:pPr>
              <w:pStyle w:val="18"/>
            </w:pPr>
            <w:r>
              <w:t>81.25</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81.25</w:t>
            </w:r>
          </w:p>
        </w:tc>
        <w:tc>
          <w:tcPr>
            <w:tcW w:w="2381" w:type="dxa"/>
            <w:tcBorders>
              <w:top w:val="single" w:color="000000" w:sz="6" w:space="0"/>
              <w:left w:val="single" w:color="000000" w:sz="6" w:space="0"/>
              <w:right w:val="single" w:color="000000" w:sz="6" w:space="0"/>
            </w:tcBorders>
            <w:vAlign w:val="center"/>
          </w:tcPr>
          <w:p>
            <w:pPr>
              <w:pStyle w:val="14"/>
            </w:pPr>
            <w:r>
              <w:t>81.25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78.40</w:t>
            </w:r>
          </w:p>
        </w:tc>
        <w:tc>
          <w:tcPr>
            <w:tcW w:w="2381" w:type="dxa"/>
            <w:tcBorders>
              <w:top w:val="single" w:color="000000" w:sz="6" w:space="0"/>
              <w:left w:val="single" w:color="000000" w:sz="6" w:space="0"/>
              <w:right w:val="single" w:color="000000" w:sz="6" w:space="0"/>
            </w:tcBorders>
            <w:vAlign w:val="center"/>
          </w:tcPr>
          <w:p>
            <w:pPr>
              <w:pStyle w:val="14"/>
            </w:pPr>
            <w:r>
              <w:t>78.40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42.40</w:t>
            </w:r>
          </w:p>
        </w:tc>
        <w:tc>
          <w:tcPr>
            <w:tcW w:w="2381" w:type="dxa"/>
            <w:tcBorders>
              <w:top w:val="single" w:color="000000" w:sz="6" w:space="0"/>
              <w:left w:val="single" w:color="000000" w:sz="6" w:space="0"/>
              <w:right w:val="single" w:color="000000" w:sz="6" w:space="0"/>
            </w:tcBorders>
            <w:vAlign w:val="center"/>
          </w:tcPr>
          <w:p>
            <w:pPr>
              <w:pStyle w:val="14"/>
            </w:pPr>
            <w:r>
              <w:t>42.40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昌黎县自然资源和规划局2026年部门预算信息公开情况说明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昌黎县自然资源和规划局2026年部门预算信息公开情况说明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按照《中华人民共和国预算法》、《地方预决算公开操作规程》和《关于进一步推进预算公开工作的实施意见》规定，现将昌黎县自然资源和规划局2026年部门预算公开如下：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1、贯彻、执行国家和省、市有关土地资源、矿产资源、海洋资源和测绘管理工作的法律、法规及方针政策，研究制定全县土地资源、矿产资源、海洋资源和测绘管理的规范性文件并组织实施。</w:t>
      </w:r>
    </w:p>
    <w:p>
      <w:pPr>
        <w:pStyle w:val="20"/>
      </w:pPr>
      <w:r>
        <w:t>2、组织编制和实施全县土地利用总体规划和其他专项规划。参与审核报省和市政府审批的城市总体规划。指导、审核各乡（镇）土地利用总体规划。</w:t>
      </w:r>
    </w:p>
    <w:p>
      <w:pPr>
        <w:pStyle w:val="20"/>
      </w:pPr>
      <w:r>
        <w:t>3、监督检查全县矿产资源、国土资源、海洋资源和测绘管理部门行政执法情况，依法保护土地、矿产所有者和使用者的合法权益。承办并组织调处重大土地、矿产权属纠纷，查处土地、矿产、海洋和测绘违法案件。</w:t>
      </w:r>
    </w:p>
    <w:p>
      <w:pPr>
        <w:pStyle w:val="20"/>
      </w:pPr>
      <w:r>
        <w:t>4、拟定并实施全县耕地保护和开发政策。落实土地用途管制制度，组织基本农田保护，组织指导未利用土地开发、土地整理和土地复垦工作。组织耕地开发的立项、检查和验收。</w:t>
      </w:r>
    </w:p>
    <w:p>
      <w:pPr>
        <w:pStyle w:val="20"/>
      </w:pPr>
      <w:r>
        <w:t xml:space="preserve">5、管理全县城乡地籍工作。组织土地资源调查、地籍调查、土地统计和动态监测。负责土地确权、土地定级和登记、发证工作。    </w:t>
      </w:r>
    </w:p>
    <w:p>
      <w:pPr>
        <w:pStyle w:val="20"/>
      </w:pPr>
      <w: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pStyle w:val="20"/>
      </w:pPr>
      <w:r>
        <w:t>7、负责制定全县土地利用年度计划和农用地转用、耕地补充、土地征用方案的审核工作。审批临时用地。指导全县农宅用地及砖瓦窑用地工作。</w:t>
      </w:r>
    </w:p>
    <w:p>
      <w:pPr>
        <w:pStyle w:val="20"/>
      </w:pPr>
      <w: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pStyle w:val="20"/>
      </w:pPr>
      <w:r>
        <w:t>9、指导基准地价、标定地价评测；审定评估机构从事土地评估的资格；确认土地使用权评估价格。</w:t>
      </w:r>
    </w:p>
    <w:p>
      <w:pPr>
        <w:pStyle w:val="20"/>
      </w:pPr>
      <w: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pStyle w:val="20"/>
      </w:pPr>
      <w: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pStyle w:val="20"/>
      </w:pPr>
      <w:r>
        <w:t>12、组织协调地质灾害勘查和防治；监测、监督防止地下水过量开采与污染，保护地质环境；负责矿泉水和地热资源的监督管理及年审工作。</w:t>
      </w:r>
    </w:p>
    <w:p>
      <w:pPr>
        <w:pStyle w:val="20"/>
      </w:pPr>
      <w:r>
        <w:t>13、依法征收并管理有关收费；协助省国土资源厅和财政税收部门征缴有关税费；负责局机关及所属事业部门年度经费算计划和开支。安排使用好其他专项资金。</w:t>
      </w:r>
    </w:p>
    <w:p>
      <w:pPr>
        <w:pStyle w:val="20"/>
      </w:pPr>
      <w:r>
        <w:t>14、负责全县土地资源、矿产资源、海洋资源、测绘的科学技术、对外使用交流和业务培训工作。</w:t>
      </w:r>
    </w:p>
    <w:p>
      <w:pPr>
        <w:pStyle w:val="20"/>
      </w:pPr>
      <w:r>
        <w:t>15、负责土地资源、矿产资源、海洋资源和测绘管理的行政复议、应诉工作。负责错案和执法过错追究。</w:t>
      </w:r>
    </w:p>
    <w:p>
      <w:pPr>
        <w:pStyle w:val="20"/>
      </w:pPr>
      <w:r>
        <w:t>16、承办县政府交办的其他。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昌黎县自然资源和规划局本级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昌黎县城乡规划中心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昌黎县土地整理储备中心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按照预算管理有关规定，目前部门预算的编制实行综合预算管理，即全部收入和支出都反映在预算中。昌黎县自然资源和规划局机关及所属事业单位的收支包含在部门预算中。</w:t>
      </w:r>
    </w:p>
    <w:p>
      <w:pPr>
        <w:pStyle w:val="21"/>
      </w:pPr>
      <w:r>
        <w:t>1、收入说明</w:t>
      </w:r>
    </w:p>
    <w:p>
      <w:pPr>
        <w:pStyle w:val="21"/>
      </w:pPr>
      <w:r>
        <w:t>反映本部门当年全部收入。2026年预算收入31360.24万元，其中：一般公共预算收入3188.24万元，基金预算收入28000.00万元，国有资本经营预算收入0.00万元，财政专户核拨收入0.00万元，单位资金收入0.00万元，上年结转结余172.00万元。</w:t>
      </w:r>
    </w:p>
    <w:p>
      <w:pPr>
        <w:pStyle w:val="21"/>
      </w:pPr>
      <w:r>
        <w:t>2、支出说明</w:t>
      </w:r>
    </w:p>
    <w:p>
      <w:pPr>
        <w:pStyle w:val="21"/>
      </w:pPr>
      <w:r>
        <w:t>收支预算总表支出栏、基本支出表、项目支出表按经济分类和支出功能分类科目编制，反映昌黎县自然资源和规划局年度部门预算中支出预算的总体情况。2026年支出预算31360.24万元，其中基本支出2255.43万元，包括人员经费2157.91万元和日常公用经费97.52万元；项目支出29104.81万元，主要为政府性基金预算28000万元，包括征地费15000万元，社会保障费8000万元，耕地占用税3000万元，非农建设补充耕地项目500万元,土地收储成本1500万元。一般公共预算支出2710.33万元，主要包括空间总体规划编制100万元，购买公务用车36万元，不动产技术服务费16万元，土地变更调查90万元，自然资源统一确权21万元，城市体检评估（2023年度）28.4万元，国土空间规划实施评估20万元，中心城区详细规划60万元，黄金海岸城市设计、土地出让评估60万元，开放养殖区海域使用论证报告26.5万元，海域价格评估报告10万元等；预计下年使用的单位资金结余0.00万元。委托业务费共计安排1196.50万元，主要用于因技术原因确需对外委托的辅助性工作和确有必要对外委托开展咨询、评审、规划等工作。</w:t>
      </w:r>
    </w:p>
    <w:p>
      <w:pPr>
        <w:pStyle w:val="21"/>
      </w:pPr>
      <w:r>
        <w:t>3、比上年增减情况</w:t>
      </w:r>
    </w:p>
    <w:p>
      <w:pPr>
        <w:pStyle w:val="21"/>
      </w:pPr>
      <w:r>
        <w:t>2026年预算收支安排31360.24万元，较2025年预算增加11384.93万元，其中：基本支出减少82.79万元，主要为较2025年预算增加主要是根据本年工作计划，政府性基金预算项目的增加。公用经费较上年降低是因为根据实际支出需求，压减了日常公用支出。项目支出增加11467.72万元，主要为政府性基金项目的增加，根据工作计划，征地费、社保费等较上年增多。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2026年，我部门机关运行经费共计安排97.52万元，主要用于日常维修、办公用房水电费、办公用房取暖费、办公用房物业管理费等日常运行支出。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81.25万元，其中因公出国（境）费0.00万元；公务用车购置及运维费78.40万元（其中：公务用车购置费为36.00万元，公务用车运维费42.40万元)；公务接待费2.85万元。与2025年相比增加20.85万元，增减变化的主要原因是本年增加了公务用车购置费36万元，由于公务用车老旧，已不能正常保障运行，按照需求，需购买公务用车；其他三公经费为落实习惯过紧日子要求大幅压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坚决贯彻落实中央、省市委要求部署，提高政治站位，精心谋划好“十四五”发展规划，锐意改革、开拓创新、凝心聚力，强化新发展理念，一年上一个台阶，扎扎实实做好各项工作：深入抓好国土空间规划实施,继续深化完善国土空间总体规划成果，按程序履行报批程序；加强土地利用管理，针对不同情况制定相应的措施，逐宗处理。建立基准地价更新、年度地价评估；强化用地保障,保障各类用地需求，完成永久基本农田调整补划；积极做好矿山修复治理，持续推进矿山综合治理各项工作；有效落实耕地保护目标任务,以划定的永久基本农田、生态保护红线、城市开发边界为底线，全面完成永久基本农田核实整改和储备区划定工作；强化地理信息建设，为政府提供强有力的地理信息服务保障；全面推进自然资源统一确权登记工作,确保自然资源统一确权登记工作取得更加明显成效，更好地服务于全市经济发展服务于人民群</w:t>
      </w:r>
      <w:r>
        <w:rPr>
          <w:rFonts w:hint="eastAsia"/>
          <w:lang w:eastAsia="zh-CN"/>
        </w:rPr>
        <w:t>众</w:t>
      </w:r>
      <w:r>
        <w:t>；加大对土地、矿产等自然资源执法动态巡查力度，依法查处案件，开展卫片执法监督检查，协调、联络地督察机构，为建设沿海城市、美丽港城和国际化旅游城市做出积极贡献。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（一）自然资源开发利用管理</w:t>
      </w:r>
    </w:p>
    <w:p>
      <w:pPr>
        <w:pStyle w:val="25"/>
      </w:pPr>
    </w:p>
    <w:p>
      <w:pPr>
        <w:pStyle w:val="25"/>
      </w:pPr>
      <w:r>
        <w:t>绩效目标：完成县基准地价更新、调整。完成土地交易成交率。编制土地储备计划，完成签订储备合同土地的资金支付。</w:t>
      </w:r>
    </w:p>
    <w:p>
      <w:pPr>
        <w:pStyle w:val="25"/>
      </w:pPr>
      <w:r>
        <w:t>绩效指标:完成2025年昌黎县所有地块基准地价编制；土地交易成交率100%；按储备计划100%完成土地收储。</w:t>
      </w:r>
    </w:p>
    <w:p>
      <w:pPr>
        <w:pStyle w:val="25"/>
      </w:pPr>
    </w:p>
    <w:p>
      <w:pPr>
        <w:pStyle w:val="25"/>
      </w:pPr>
      <w:r>
        <w:t>（二）矿产资源管理</w:t>
      </w:r>
    </w:p>
    <w:p>
      <w:pPr>
        <w:pStyle w:val="25"/>
      </w:pPr>
    </w:p>
    <w:p>
      <w:pPr>
        <w:pStyle w:val="25"/>
      </w:pPr>
      <w:r>
        <w:t>绩效目标：维护国家矿产资源所有者权益，掌控资源家底，维护国家矿产资源所有者权益，提供宏观调控依据。为建设项目选址和压覆矿产资源调查提供决策依据。</w:t>
      </w:r>
    </w:p>
    <w:p>
      <w:pPr>
        <w:pStyle w:val="25"/>
      </w:pPr>
    </w:p>
    <w:p>
      <w:pPr>
        <w:pStyle w:val="25"/>
      </w:pPr>
      <w:r>
        <w:t>绩效指标：矿产资源储量管理基础工作完成率达到90%以上，重大矿业权权属纠纷有效处理率，达到90%以上。</w:t>
      </w:r>
    </w:p>
    <w:p>
      <w:pPr>
        <w:pStyle w:val="25"/>
      </w:pPr>
    </w:p>
    <w:p>
      <w:pPr>
        <w:pStyle w:val="25"/>
      </w:pPr>
      <w:r>
        <w:t>（三）国土测绘管理</w:t>
      </w:r>
    </w:p>
    <w:p>
      <w:pPr>
        <w:pStyle w:val="25"/>
      </w:pPr>
    </w:p>
    <w:p>
      <w:pPr>
        <w:pStyle w:val="25"/>
      </w:pPr>
      <w:r>
        <w:t>绩效目标：加强县级基础地理信息数据和数据库的更新，组织开展县级重大测绘地理信息项目建设，组织开展全县航空摄影遥感资料获取处理，加强对全县测绘资质持证部门的监管。</w:t>
      </w:r>
    </w:p>
    <w:p>
      <w:pPr>
        <w:pStyle w:val="25"/>
      </w:pPr>
      <w:r>
        <w:t>绩效指标：更新县级基础地理信息数据和数据库完成率100%。县级重大测绘地理信息项目完成率大于95%。航空航天遥感影像数据获取与处理完成率大于95%。</w:t>
      </w:r>
    </w:p>
    <w:p>
      <w:pPr>
        <w:pStyle w:val="25"/>
      </w:pPr>
    </w:p>
    <w:p>
      <w:pPr>
        <w:pStyle w:val="25"/>
      </w:pPr>
      <w:r>
        <w:t>（四）国土空间修复管理</w:t>
      </w:r>
    </w:p>
    <w:p>
      <w:pPr>
        <w:pStyle w:val="25"/>
      </w:pPr>
    </w:p>
    <w:p>
      <w:pPr>
        <w:pStyle w:val="25"/>
      </w:pPr>
      <w:r>
        <w:t>绩效目标：开展矿山地质环境动态监测；推进责任主体灭失矿山迹地综合治理有序开展，完成无责任主体矿山治理任务；指导地方国土空间生态修复工作，提高群众满意度。</w:t>
      </w:r>
    </w:p>
    <w:p>
      <w:pPr>
        <w:pStyle w:val="25"/>
      </w:pPr>
    </w:p>
    <w:p>
      <w:pPr>
        <w:pStyle w:val="25"/>
      </w:pPr>
      <w:r>
        <w:t>绩效指标：项目工程完成规定的90%以上；责任主体灭失矿山迹地修复率达到90%以上；群众满意度达到95%以上。</w:t>
      </w:r>
    </w:p>
    <w:p>
      <w:pPr>
        <w:pStyle w:val="25"/>
      </w:pPr>
    </w:p>
    <w:p>
      <w:pPr>
        <w:pStyle w:val="25"/>
      </w:pPr>
      <w:r>
        <w:t>（五）地质灾害防治管理</w:t>
      </w:r>
    </w:p>
    <w:p>
      <w:pPr>
        <w:pStyle w:val="25"/>
      </w:pPr>
    </w:p>
    <w:p>
      <w:pPr>
        <w:pStyle w:val="25"/>
      </w:pPr>
      <w:r>
        <w:t>绩效目标：做好汛期地质灾害防治工作；开展山体崩塌、泥石流、及地面沉降等引发的地质问题的监督管理。</w:t>
      </w:r>
    </w:p>
    <w:p>
      <w:pPr>
        <w:pStyle w:val="25"/>
      </w:pPr>
    </w:p>
    <w:p>
      <w:pPr>
        <w:pStyle w:val="25"/>
      </w:pPr>
      <w:r>
        <w:t>绩效指标：完成地质灾害治理案件大于1件。</w:t>
      </w:r>
    </w:p>
    <w:p>
      <w:pPr>
        <w:pStyle w:val="25"/>
      </w:pPr>
    </w:p>
    <w:p>
      <w:pPr>
        <w:pStyle w:val="25"/>
      </w:pPr>
      <w:r>
        <w:t>（六）自然资源确权登记管理</w:t>
      </w:r>
    </w:p>
    <w:p>
      <w:pPr>
        <w:pStyle w:val="25"/>
      </w:pPr>
    </w:p>
    <w:p>
      <w:pPr>
        <w:pStyle w:val="25"/>
      </w:pPr>
      <w:r>
        <w:t>绩效目标：开展自然资源调查监测评价成果的汇交、管理、维护、发布、共享和利用。组织开展自然资源和不动产确权登记 工作，进一步完善登记制度规范。</w:t>
      </w:r>
    </w:p>
    <w:p>
      <w:pPr>
        <w:pStyle w:val="25"/>
      </w:pPr>
      <w:r>
        <w:t>绩效指标：完成17个乡镇自然资源确权登记工作。不动产登记信息管理基础平台运维工作完成率达到95%以上。</w:t>
      </w:r>
    </w:p>
    <w:p>
      <w:pPr>
        <w:pStyle w:val="25"/>
      </w:pPr>
    </w:p>
    <w:p>
      <w:pPr>
        <w:pStyle w:val="25"/>
      </w:pPr>
      <w:r>
        <w:t>（七）国土空间规划管理</w:t>
      </w:r>
    </w:p>
    <w:p>
      <w:pPr>
        <w:pStyle w:val="25"/>
      </w:pPr>
      <w:r>
        <w:t>绩效目标：做好国土空间各类规划编制和实施，充分发挥国土空间规划的管控作用。</w:t>
      </w:r>
    </w:p>
    <w:p>
      <w:pPr>
        <w:pStyle w:val="25"/>
      </w:pPr>
    </w:p>
    <w:p>
      <w:pPr>
        <w:pStyle w:val="25"/>
      </w:pPr>
      <w:r>
        <w:t>绩效指标：完成规划数据编制、更新维护率达到95%以上。</w:t>
      </w:r>
    </w:p>
    <w:p>
      <w:pPr>
        <w:pStyle w:val="25"/>
      </w:pPr>
    </w:p>
    <w:p>
      <w:pPr>
        <w:pStyle w:val="25"/>
      </w:pPr>
      <w:r>
        <w:t>（八）国土空间用途管制管理</w:t>
      </w:r>
    </w:p>
    <w:p>
      <w:pPr>
        <w:pStyle w:val="25"/>
      </w:pPr>
    </w:p>
    <w:p>
      <w:pPr>
        <w:pStyle w:val="25"/>
      </w:pPr>
      <w:r>
        <w:t>绩效目标：对省下达我县的新增建设用地计划指标进行管理，按职责任务分工贯彻落实国土空间用途转用政策，承担报省政府、市政府审批的各类用地的审核、报批工作。</w:t>
      </w:r>
    </w:p>
    <w:p>
      <w:pPr>
        <w:pStyle w:val="25"/>
      </w:pPr>
    </w:p>
    <w:p>
      <w:pPr>
        <w:pStyle w:val="25"/>
      </w:pPr>
      <w:r>
        <w:t>绩效指标：完成集体建设用地审批工作完成率大于90%以上。</w:t>
      </w:r>
    </w:p>
    <w:p>
      <w:pPr>
        <w:pStyle w:val="25"/>
      </w:pPr>
    </w:p>
    <w:p>
      <w:pPr>
        <w:pStyle w:val="25"/>
      </w:pPr>
      <w:r>
        <w:t>（九）耕地保护监督管理</w:t>
      </w:r>
    </w:p>
    <w:p>
      <w:pPr>
        <w:pStyle w:val="25"/>
      </w:pPr>
    </w:p>
    <w:p>
      <w:pPr>
        <w:pStyle w:val="25"/>
      </w:pPr>
      <w:r>
        <w:t>绩效目标：确保全县耕地保有量和基本农田保护面积，组织实施最严格的耕地保护制度。确保全县耕地占补平衡，土地整治补充耕地任务。</w:t>
      </w:r>
    </w:p>
    <w:p>
      <w:pPr>
        <w:pStyle w:val="25"/>
      </w:pPr>
    </w:p>
    <w:p>
      <w:pPr>
        <w:pStyle w:val="25"/>
      </w:pPr>
      <w:r>
        <w:t>绩效指标：永久基本农田数据库更新监管率大于95%；耕地质量等别更新与定监测完成率大于95%。</w:t>
      </w:r>
    </w:p>
    <w:p>
      <w:pPr>
        <w:pStyle w:val="25"/>
      </w:pPr>
    </w:p>
    <w:p>
      <w:pPr>
        <w:pStyle w:val="25"/>
      </w:pPr>
      <w:r>
        <w:t>（十）建设工程规划管理</w:t>
      </w:r>
    </w:p>
    <w:p>
      <w:pPr>
        <w:pStyle w:val="25"/>
      </w:pPr>
    </w:p>
    <w:p>
      <w:pPr>
        <w:pStyle w:val="25"/>
      </w:pPr>
      <w:r>
        <w:t>绩效目标：按照行政许可法规定完成相关行政许可事项。</w:t>
      </w:r>
    </w:p>
    <w:p>
      <w:pPr>
        <w:pStyle w:val="25"/>
      </w:pPr>
    </w:p>
    <w:p>
      <w:pPr>
        <w:pStyle w:val="25"/>
      </w:pPr>
      <w:r>
        <w:t>绩效指标：完成工作率高于95%以上。</w:t>
      </w:r>
    </w:p>
    <w:p>
      <w:pPr>
        <w:pStyle w:val="25"/>
      </w:pPr>
    </w:p>
    <w:p>
      <w:pPr>
        <w:pStyle w:val="25"/>
      </w:pPr>
      <w:r>
        <w:t>（十一）督查与执法管理</w:t>
      </w:r>
    </w:p>
    <w:p>
      <w:pPr>
        <w:pStyle w:val="25"/>
      </w:pPr>
    </w:p>
    <w:p>
      <w:pPr>
        <w:pStyle w:val="25"/>
      </w:pPr>
      <w:r>
        <w:t>绩效目标：依法查处案件，开展卫片执法监督检查。做好重大违法案件查处，严厉打击违法，维护群众合法权益。</w:t>
      </w:r>
    </w:p>
    <w:p>
      <w:pPr>
        <w:pStyle w:val="25"/>
      </w:pPr>
    </w:p>
    <w:p>
      <w:pPr>
        <w:pStyle w:val="25"/>
      </w:pPr>
      <w:r>
        <w:t>绩效指标：举报线索处置率大于99%。土地、矿产卫片违法现场核查到位率大于80%。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为应对可能存在的问题和环境变化等趋势，采取措施预做准备，控制偏差，保证绩效目标实现，制定以下保障措施：</w:t>
      </w:r>
    </w:p>
    <w:p>
      <w:pPr>
        <w:pStyle w:val="26"/>
      </w:pPr>
      <w:r>
        <w:t>1、完善制度建设。</w:t>
      </w:r>
    </w:p>
    <w:p>
      <w:pPr>
        <w:pStyle w:val="26"/>
      </w:pPr>
      <w:r>
        <w:t>建立健全管理制度，制定了《预算管理制度》、《财务管理暂行规定》等一系列财务规章制度。为落实全面实施预算绩效管理要求，规范预算项目管理，做到部门职责与工作活动一致，认真梳理部门职责、工作活动，形成了本部门 “部门职责-工作活动”目录，建立了规范的绩效预算管理结构，健全了绩效目标指标体系。</w:t>
      </w:r>
    </w:p>
    <w:p>
      <w:pPr>
        <w:pStyle w:val="26"/>
      </w:pPr>
      <w:r>
        <w:t>2、加强支出管理。</w:t>
      </w:r>
    </w:p>
    <w:p>
      <w:pPr>
        <w:pStyle w:val="26"/>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6"/>
      </w:pPr>
      <w:r>
        <w:t>3、加强绩效运行监控</w:t>
      </w:r>
    </w:p>
    <w:p>
      <w:pPr>
        <w:pStyle w:val="26"/>
      </w:pPr>
      <w:r>
        <w:t>按照预算绩效管理原则，所有预算收支全面纳入绩效管理，将绩效管理关口前移，逐步建立“预算编制有目标、预算执行有监控、预算完成有评价、评价结果有反馈、反馈结果有应用”的预算绩效管理机制。</w:t>
      </w:r>
    </w:p>
    <w:p>
      <w:pPr>
        <w:pStyle w:val="26"/>
      </w:pPr>
      <w:r>
        <w:t>4、做好绩效自评。</w:t>
      </w:r>
    </w:p>
    <w:p>
      <w:pPr>
        <w:pStyle w:val="26"/>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6"/>
      </w:pPr>
      <w:r>
        <w:t>5、规范财务资产管理。</w:t>
      </w:r>
    </w:p>
    <w:p>
      <w:pPr>
        <w:pStyle w:val="26"/>
      </w:pPr>
      <w:r>
        <w:t>强化资产管理，完善财务管理相关制度，严格审批程序，严格执行资产管理制度，加强和规范资产配置、使用和处置管理，维护资产安全完整。不定期对本部门资产进行清查盘点，确保资产账、财务账、资产实物账账账相符、账实相符。处置收入按照“收支两条线”管理规定上缴同级国库。</w:t>
      </w:r>
    </w:p>
    <w:p>
      <w:pPr>
        <w:pStyle w:val="26"/>
      </w:pPr>
      <w:r>
        <w:t>6、加强内部监督。</w:t>
      </w:r>
    </w:p>
    <w:p>
      <w:pPr>
        <w:pStyle w:val="26"/>
      </w:pPr>
      <w:r>
        <w:t>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bookmarkStart w:id="20" w:name="_GoBack"/>
      <w:bookmarkEnd w:id="20"/>
      <w:r>
        <w:t>会计法》，财务人员明确岗位职责，保证部门经济活动合法合规、资产安全和使用有效、财务信息真实完整。</w:t>
      </w:r>
    </w:p>
    <w:p>
      <w:pPr>
        <w:pStyle w:val="26"/>
      </w:pPr>
      <w:r>
        <w:t>7、加强宣传培训调研等。</w:t>
      </w:r>
    </w:p>
    <w:p>
      <w:pPr>
        <w:pStyle w:val="26"/>
        <w:sectPr>
          <w:pgSz w:w="16840" w:h="11900" w:orient="landscape"/>
          <w:pgMar w:top="1361" w:right="1020" w:bottom="1361" w:left="1020" w:header="720" w:footer="720" w:gutter="0"/>
          <w:cols w:space="720" w:num="1"/>
          <w:docGrid w:linePitch="326" w:charSpace="0"/>
        </w:sectPr>
      </w:pPr>
      <w:r>
        <w:t xml:space="preserve">强化信息宣传，营造良好氛围。进一步加大资源规划领域信息宣传工作力度，扩大宣传范围，创新宣传方式，编制了《国土资源业务工作应知应会知识手册》，让各项制度简单明了、人人掌握，确保业务工作顺利进行。最大限度地争取社会各界对资源规划领域法规政策的理解和支持，树立资源规划部门良好的社会形象。 </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195" w:firstLineChars="427"/>
        <w:jc w:val="left"/>
        <w:outlineLvl w:val="2"/>
        <w:rPr>
          <w:rFonts w:eastAsia="方正仿宋_GBK"/>
          <w:sz w:val="28"/>
        </w:rPr>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1、不动产登记、等保系统技术服务费绩效目标表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13032226P00212710010Y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不动产登记、等保系统技术服务费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针对不动产通信系统进行整体测评，提出整体测评；根据安全等级，维护权利人合法权益。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1.针对不动产通信系统进行整体测评，提出整体测评；根据安全等级，维护权利人合法权益。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等级服务阶段</w:t>
            </w:r>
          </w:p>
        </w:tc>
        <w:tc>
          <w:tcPr>
            <w:tcW w:w="5386" w:type="dxa"/>
            <w:tcBorders>
              <w:top w:val="single" w:color="000000" w:sz="6" w:space="0"/>
              <w:left w:val="single" w:color="000000" w:sz="6" w:space="0"/>
              <w:right w:val="single" w:color="000000" w:sz="6" w:space="0"/>
            </w:tcBorders>
            <w:vAlign w:val="center"/>
          </w:tcPr>
          <w:p>
            <w:pPr>
              <w:pStyle w:val="15"/>
            </w:pPr>
            <w:r>
              <w:t>服务内容</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成果应用率</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等级服务可持续利用程度</w:t>
            </w:r>
          </w:p>
        </w:tc>
        <w:tc>
          <w:tcPr>
            <w:tcW w:w="5386" w:type="dxa"/>
            <w:tcBorders>
              <w:top w:val="single" w:color="000000" w:sz="6" w:space="0"/>
              <w:left w:val="single" w:color="000000" w:sz="6" w:space="0"/>
              <w:right w:val="single" w:color="000000" w:sz="6" w:space="0"/>
            </w:tcBorders>
            <w:vAlign w:val="center"/>
          </w:tcPr>
          <w:p>
            <w:pPr>
              <w:pStyle w:val="15"/>
            </w:pPr>
            <w:r>
              <w:t>等级服务阶段指标是否充分利用</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依据相关法规、标准及行业管理规范进行测评，带动经济增长</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实施排查不动产登记信息网络安全等级</w:t>
            </w:r>
          </w:p>
        </w:tc>
        <w:tc>
          <w:tcPr>
            <w:tcW w:w="5386" w:type="dxa"/>
            <w:tcBorders>
              <w:top w:val="single" w:color="000000" w:sz="6" w:space="0"/>
              <w:left w:val="single" w:color="000000" w:sz="6" w:space="0"/>
              <w:right w:val="single" w:color="000000" w:sz="6" w:space="0"/>
            </w:tcBorders>
            <w:vAlign w:val="center"/>
          </w:tcPr>
          <w:p>
            <w:pPr>
              <w:pStyle w:val="15"/>
            </w:pPr>
            <w:r>
              <w:t>掌握真实准确的网络安全等级数量</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2、不动产权证书购置费绩效目标表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13032226P002122102253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不动产权证书购置费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发放不动产权证书，做到使用权人人手一册。</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1.发放不动产权证书，做到使用权人人手一册。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不动产登记录入量</w:t>
            </w:r>
          </w:p>
        </w:tc>
        <w:tc>
          <w:tcPr>
            <w:tcW w:w="5386" w:type="dxa"/>
            <w:tcBorders>
              <w:top w:val="single" w:color="000000" w:sz="6" w:space="0"/>
              <w:left w:val="single" w:color="000000" w:sz="6" w:space="0"/>
              <w:right w:val="single" w:color="000000" w:sz="6" w:space="0"/>
            </w:tcBorders>
            <w:vAlign w:val="center"/>
          </w:tcPr>
          <w:p>
            <w:pPr>
              <w:pStyle w:val="15"/>
            </w:pPr>
            <w:r>
              <w:t>年不动产登记证书发放量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不动产登记录入准确率</w:t>
            </w:r>
          </w:p>
        </w:tc>
        <w:tc>
          <w:tcPr>
            <w:tcW w:w="5386" w:type="dxa"/>
            <w:tcBorders>
              <w:top w:val="single" w:color="000000" w:sz="6" w:space="0"/>
              <w:left w:val="single" w:color="000000" w:sz="6" w:space="0"/>
              <w:right w:val="single" w:color="000000" w:sz="6" w:space="0"/>
            </w:tcBorders>
            <w:vAlign w:val="center"/>
          </w:tcPr>
          <w:p>
            <w:pPr>
              <w:pStyle w:val="15"/>
            </w:pPr>
            <w:r>
              <w:t>不动产权证书打印准确率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根据年不动产登记录入量/实际完成进度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证书成本</w:t>
            </w:r>
          </w:p>
        </w:tc>
        <w:tc>
          <w:tcPr>
            <w:tcW w:w="5386" w:type="dxa"/>
            <w:tcBorders>
              <w:top w:val="single" w:color="000000" w:sz="6" w:space="0"/>
              <w:left w:val="single" w:color="000000" w:sz="6" w:space="0"/>
              <w:right w:val="single" w:color="000000" w:sz="6" w:space="0"/>
            </w:tcBorders>
            <w:vAlign w:val="center"/>
          </w:tcPr>
          <w:p>
            <w:pPr>
              <w:pStyle w:val="15"/>
            </w:pPr>
            <w:r>
              <w:t>已完成成本</w:t>
            </w:r>
          </w:p>
        </w:tc>
        <w:tc>
          <w:tcPr>
            <w:tcW w:w="2268" w:type="dxa"/>
            <w:tcBorders>
              <w:top w:val="single" w:color="000000" w:sz="6" w:space="0"/>
              <w:left w:val="single" w:color="000000" w:sz="6" w:space="0"/>
              <w:right w:val="single" w:color="000000" w:sz="6" w:space="0"/>
            </w:tcBorders>
            <w:vAlign w:val="center"/>
          </w:tcPr>
          <w:p>
            <w:pPr>
              <w:pStyle w:val="15"/>
            </w:pPr>
            <w:r>
              <w:t>≤7.85万元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不动产登记系统运行稳定性</w:t>
            </w:r>
          </w:p>
        </w:tc>
        <w:tc>
          <w:tcPr>
            <w:tcW w:w="5386" w:type="dxa"/>
            <w:tcBorders>
              <w:top w:val="single" w:color="000000" w:sz="6" w:space="0"/>
              <w:left w:val="single" w:color="000000" w:sz="6" w:space="0"/>
              <w:right w:val="single" w:color="000000" w:sz="6" w:space="0"/>
            </w:tcBorders>
            <w:vAlign w:val="center"/>
          </w:tcPr>
          <w:p>
            <w:pPr>
              <w:pStyle w:val="15"/>
            </w:pPr>
            <w:r>
              <w:t>稳定性登记信息系统运行出现不稳定、崩溃、错误的次数，按月统计。</w:t>
            </w:r>
          </w:p>
        </w:tc>
        <w:tc>
          <w:tcPr>
            <w:tcW w:w="2268" w:type="dxa"/>
            <w:tcBorders>
              <w:top w:val="single" w:color="000000" w:sz="6" w:space="0"/>
              <w:left w:val="single" w:color="000000" w:sz="6" w:space="0"/>
              <w:right w:val="single" w:color="000000" w:sz="6" w:space="0"/>
            </w:tcBorders>
            <w:vAlign w:val="center"/>
          </w:tcPr>
          <w:p>
            <w:pPr>
              <w:pStyle w:val="15"/>
            </w:pPr>
            <w:r>
              <w:t>≤5次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带动不动产市场经济增长</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掌握不动产证书数量</w:t>
            </w:r>
          </w:p>
        </w:tc>
        <w:tc>
          <w:tcPr>
            <w:tcW w:w="5386" w:type="dxa"/>
            <w:tcBorders>
              <w:top w:val="single" w:color="000000" w:sz="6" w:space="0"/>
              <w:left w:val="single" w:color="000000" w:sz="6" w:space="0"/>
              <w:right w:val="single" w:color="000000" w:sz="6" w:space="0"/>
            </w:tcBorders>
            <w:vAlign w:val="center"/>
          </w:tcPr>
          <w:p>
            <w:pPr>
              <w:pStyle w:val="15"/>
            </w:pPr>
            <w:r>
              <w:t>掌握真实准确的证书数量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社会公众对项目带来的服务满意度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3、昌黎县2024-2025年度25处历史遗留矿山图斑地质环境现状调查评价绩效目标表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13032226P00212210230W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昌黎县2024-2025年度25处历史遗留矿山图斑地质环境现状调查评价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查明昌黎县2024-2025年25处历史遗留矿山图斑地质环境现状、自然恢复绿化、恢复治理等情况。</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1.查明昌黎县2024-2025年25处历史遗留矿山图斑地质环境现状、自然恢复绿化、恢复治理等情况。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调查遗留矿山图斑数量</w:t>
            </w:r>
          </w:p>
        </w:tc>
        <w:tc>
          <w:tcPr>
            <w:tcW w:w="5386" w:type="dxa"/>
            <w:tcBorders>
              <w:top w:val="single" w:color="000000" w:sz="6" w:space="0"/>
              <w:left w:val="single" w:color="000000" w:sz="6" w:space="0"/>
              <w:right w:val="single" w:color="000000" w:sz="6" w:space="0"/>
            </w:tcBorders>
            <w:vAlign w:val="center"/>
          </w:tcPr>
          <w:p>
            <w:pPr>
              <w:pStyle w:val="15"/>
            </w:pPr>
            <w:r>
              <w:t>完成矿山图斑调查</w:t>
            </w:r>
          </w:p>
        </w:tc>
        <w:tc>
          <w:tcPr>
            <w:tcW w:w="2268" w:type="dxa"/>
            <w:tcBorders>
              <w:top w:val="single" w:color="000000" w:sz="6" w:space="0"/>
              <w:left w:val="single" w:color="000000" w:sz="6" w:space="0"/>
              <w:right w:val="single" w:color="000000" w:sz="6" w:space="0"/>
            </w:tcBorders>
            <w:vAlign w:val="center"/>
          </w:tcPr>
          <w:p>
            <w:pPr>
              <w:pStyle w:val="15"/>
            </w:pPr>
            <w:r>
              <w:t>≥25处</w:t>
            </w:r>
          </w:p>
        </w:tc>
        <w:tc>
          <w:tcPr>
            <w:tcW w:w="1276" w:type="dxa"/>
            <w:vAlign w:val="center"/>
          </w:tcPr>
          <w:p>
            <w:pPr>
              <w:pStyle w:val="15"/>
            </w:pPr>
            <w:r>
              <w:t>前期调查及省厅下达任务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完成矿山图斑调查</w:t>
            </w:r>
          </w:p>
        </w:tc>
        <w:tc>
          <w:tcPr>
            <w:tcW w:w="5386" w:type="dxa"/>
            <w:tcBorders>
              <w:top w:val="single" w:color="000000" w:sz="6" w:space="0"/>
              <w:left w:val="single" w:color="000000" w:sz="6" w:space="0"/>
              <w:right w:val="single" w:color="000000" w:sz="6" w:space="0"/>
            </w:tcBorders>
            <w:vAlign w:val="center"/>
          </w:tcPr>
          <w:p>
            <w:pPr>
              <w:pStyle w:val="15"/>
            </w:pPr>
            <w:r>
              <w:t>完成矿山图斑调查占按要求数量</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按时完成矿山图斑调查</w:t>
            </w:r>
          </w:p>
        </w:tc>
        <w:tc>
          <w:tcPr>
            <w:tcW w:w="5386" w:type="dxa"/>
            <w:tcBorders>
              <w:top w:val="single" w:color="000000" w:sz="6" w:space="0"/>
              <w:left w:val="single" w:color="000000" w:sz="6" w:space="0"/>
              <w:right w:val="single" w:color="000000" w:sz="6" w:space="0"/>
            </w:tcBorders>
            <w:vAlign w:val="center"/>
          </w:tcPr>
          <w:p>
            <w:pPr>
              <w:pStyle w:val="15"/>
            </w:pPr>
            <w:r>
              <w:t>按要求完成矿山图斑调查比例</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符合资金预算</w:t>
            </w:r>
          </w:p>
        </w:tc>
        <w:tc>
          <w:tcPr>
            <w:tcW w:w="5386" w:type="dxa"/>
            <w:tcBorders>
              <w:top w:val="single" w:color="000000" w:sz="6" w:space="0"/>
              <w:left w:val="single" w:color="000000" w:sz="6" w:space="0"/>
              <w:right w:val="single" w:color="000000" w:sz="6" w:space="0"/>
            </w:tcBorders>
            <w:vAlign w:val="center"/>
          </w:tcPr>
          <w:p>
            <w:pPr>
              <w:pStyle w:val="15"/>
            </w:pPr>
            <w:r>
              <w:t>项目预算成本</w:t>
            </w:r>
          </w:p>
        </w:tc>
        <w:tc>
          <w:tcPr>
            <w:tcW w:w="2268" w:type="dxa"/>
            <w:tcBorders>
              <w:top w:val="single" w:color="000000" w:sz="6" w:space="0"/>
              <w:left w:val="single" w:color="000000" w:sz="6" w:space="0"/>
              <w:right w:val="single" w:color="000000" w:sz="6" w:space="0"/>
            </w:tcBorders>
            <w:vAlign w:val="center"/>
          </w:tcPr>
          <w:p>
            <w:pPr>
              <w:pStyle w:val="15"/>
            </w:pPr>
            <w:r>
              <w:t>≥18.5万</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制定恢复当地自然环境措施</w:t>
            </w:r>
          </w:p>
        </w:tc>
        <w:tc>
          <w:tcPr>
            <w:tcW w:w="5386" w:type="dxa"/>
            <w:tcBorders>
              <w:top w:val="single" w:color="000000" w:sz="6" w:space="0"/>
              <w:left w:val="single" w:color="000000" w:sz="6" w:space="0"/>
              <w:right w:val="single" w:color="000000" w:sz="6" w:space="0"/>
            </w:tcBorders>
            <w:vAlign w:val="center"/>
          </w:tcPr>
          <w:p>
            <w:pPr>
              <w:pStyle w:val="15"/>
            </w:pPr>
            <w:r>
              <w:t>矿山治理是使矿山与周边环境相协调，恢复当地环境，制定最优措施。</w:t>
            </w:r>
          </w:p>
        </w:tc>
        <w:tc>
          <w:tcPr>
            <w:tcW w:w="2268" w:type="dxa"/>
            <w:tcBorders>
              <w:top w:val="single" w:color="000000" w:sz="6" w:space="0"/>
              <w:left w:val="single" w:color="000000" w:sz="6" w:space="0"/>
              <w:right w:val="single" w:color="000000" w:sz="6" w:space="0"/>
            </w:tcBorders>
            <w:vAlign w:val="center"/>
          </w:tcPr>
          <w:p>
            <w:pPr>
              <w:pStyle w:val="15"/>
            </w:pPr>
            <w:r>
              <w:t>较上年完善</w:t>
            </w:r>
          </w:p>
        </w:tc>
        <w:tc>
          <w:tcPr>
            <w:tcW w:w="1276" w:type="dxa"/>
            <w:vAlign w:val="center"/>
          </w:tcPr>
          <w:p>
            <w:pPr>
              <w:pStyle w:val="15"/>
            </w:pPr>
            <w:r>
              <w:t>省厅下达的任务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项目实施对周边环境的影响程度</w:t>
            </w:r>
          </w:p>
        </w:tc>
        <w:tc>
          <w:tcPr>
            <w:tcW w:w="5386" w:type="dxa"/>
            <w:tcBorders>
              <w:top w:val="single" w:color="000000" w:sz="6" w:space="0"/>
              <w:left w:val="single" w:color="000000" w:sz="6" w:space="0"/>
              <w:right w:val="single" w:color="000000" w:sz="6" w:space="0"/>
            </w:tcBorders>
            <w:vAlign w:val="center"/>
          </w:tcPr>
          <w:p>
            <w:pPr>
              <w:pStyle w:val="15"/>
            </w:pPr>
            <w:r>
              <w:t>制定相应的治理方案可持续年限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减轻矿山地质灾害直接间接经济损失</w:t>
            </w:r>
          </w:p>
        </w:tc>
        <w:tc>
          <w:tcPr>
            <w:tcW w:w="5386" w:type="dxa"/>
            <w:tcBorders>
              <w:top w:val="single" w:color="000000" w:sz="6" w:space="0"/>
              <w:left w:val="single" w:color="000000" w:sz="6" w:space="0"/>
              <w:right w:val="single" w:color="000000" w:sz="6" w:space="0"/>
            </w:tcBorders>
            <w:vAlign w:val="center"/>
          </w:tcPr>
          <w:p>
            <w:pPr>
              <w:pStyle w:val="15"/>
            </w:pPr>
            <w:r>
              <w:t>通过调查，提出合理的矿山修复措施，有效促进矿山治理良性发展，降低损失。</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有效减轻地质灾害隐患百分比</w:t>
            </w:r>
          </w:p>
        </w:tc>
        <w:tc>
          <w:tcPr>
            <w:tcW w:w="5386" w:type="dxa"/>
            <w:tcBorders>
              <w:top w:val="single" w:color="000000" w:sz="6" w:space="0"/>
              <w:left w:val="single" w:color="000000" w:sz="6" w:space="0"/>
              <w:right w:val="single" w:color="000000" w:sz="6" w:space="0"/>
            </w:tcBorders>
            <w:vAlign w:val="center"/>
          </w:tcPr>
          <w:p>
            <w:pPr>
              <w:pStyle w:val="15"/>
            </w:pPr>
            <w:r>
              <w:t>查明矿山恢复治理情况，对尚存在地质灾害安全隐患的主体灭失矿山提出防治建议和治理工程措施。</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通过调查，周边人民满意度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4、昌黎县2024年度永久基本农田储备区更新工作绩效目标表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13032226P00212210234B</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昌黎县2024年度永久基本农田储备区更新工作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完成数据库完善工作，切实保护我县耕地质量不降低。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1.完成数据库完善工作，切实保护我县耕地质量不降低。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完成全县三调土地调查耕地质量分等定级面积</w:t>
            </w:r>
          </w:p>
        </w:tc>
        <w:tc>
          <w:tcPr>
            <w:tcW w:w="5386" w:type="dxa"/>
            <w:tcBorders>
              <w:top w:val="single" w:color="000000" w:sz="6" w:space="0"/>
              <w:left w:val="single" w:color="000000" w:sz="6" w:space="0"/>
              <w:right w:val="single" w:color="000000" w:sz="6" w:space="0"/>
            </w:tcBorders>
            <w:vAlign w:val="center"/>
          </w:tcPr>
          <w:p>
            <w:pPr>
              <w:pStyle w:val="15"/>
            </w:pPr>
            <w:r>
              <w:t>全县三调土地调查耕地质量分等定级工作完成量</w:t>
            </w:r>
          </w:p>
        </w:tc>
        <w:tc>
          <w:tcPr>
            <w:tcW w:w="2268" w:type="dxa"/>
            <w:tcBorders>
              <w:top w:val="single" w:color="000000" w:sz="6" w:space="0"/>
              <w:left w:val="single" w:color="000000" w:sz="6" w:space="0"/>
              <w:right w:val="single" w:color="000000" w:sz="6" w:space="0"/>
            </w:tcBorders>
            <w:vAlign w:val="center"/>
          </w:tcPr>
          <w:p>
            <w:pPr>
              <w:pStyle w:val="15"/>
            </w:pPr>
            <w:r>
              <w:t>≥57000公顷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完成全县三调土地调查耕地质量保证率</w:t>
            </w:r>
          </w:p>
        </w:tc>
        <w:tc>
          <w:tcPr>
            <w:tcW w:w="5386" w:type="dxa"/>
            <w:tcBorders>
              <w:top w:val="single" w:color="000000" w:sz="6" w:space="0"/>
              <w:left w:val="single" w:color="000000" w:sz="6" w:space="0"/>
              <w:right w:val="single" w:color="000000" w:sz="6" w:space="0"/>
            </w:tcBorders>
            <w:vAlign w:val="center"/>
          </w:tcPr>
          <w:p>
            <w:pPr>
              <w:pStyle w:val="15"/>
            </w:pPr>
            <w:r>
              <w:t>完成更新面积/全县耕地面积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按工作方案要求完完成全县三调土地调查耕地质量</w:t>
            </w:r>
          </w:p>
        </w:tc>
        <w:tc>
          <w:tcPr>
            <w:tcW w:w="5386" w:type="dxa"/>
            <w:tcBorders>
              <w:top w:val="single" w:color="000000" w:sz="6" w:space="0"/>
              <w:left w:val="single" w:color="000000" w:sz="6" w:space="0"/>
              <w:right w:val="single" w:color="000000" w:sz="6" w:space="0"/>
            </w:tcBorders>
            <w:vAlign w:val="center"/>
          </w:tcPr>
          <w:p>
            <w:pPr>
              <w:pStyle w:val="15"/>
            </w:pPr>
            <w:r>
              <w:t>按时完成更新面积/应完成更新面积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耕地质量等别更新成本达标量</w:t>
            </w:r>
          </w:p>
        </w:tc>
        <w:tc>
          <w:tcPr>
            <w:tcW w:w="5386" w:type="dxa"/>
            <w:tcBorders>
              <w:top w:val="single" w:color="000000" w:sz="6" w:space="0"/>
              <w:left w:val="single" w:color="000000" w:sz="6" w:space="0"/>
              <w:right w:val="single" w:color="000000" w:sz="6" w:space="0"/>
            </w:tcBorders>
            <w:vAlign w:val="center"/>
          </w:tcPr>
          <w:p>
            <w:pPr>
              <w:pStyle w:val="15"/>
            </w:pPr>
            <w:r>
              <w:t>预算拨付费用</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耕地得到保护，增加农民收入</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因耕地保护工作，地力提高，农民收入增加</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耕地质量得到持续改善</w:t>
            </w:r>
          </w:p>
        </w:tc>
        <w:tc>
          <w:tcPr>
            <w:tcW w:w="5386" w:type="dxa"/>
            <w:tcBorders>
              <w:top w:val="single" w:color="000000" w:sz="6" w:space="0"/>
              <w:left w:val="single" w:color="000000" w:sz="6" w:space="0"/>
              <w:right w:val="single" w:color="000000" w:sz="6" w:space="0"/>
            </w:tcBorders>
            <w:vAlign w:val="center"/>
          </w:tcPr>
          <w:p>
            <w:pPr>
              <w:pStyle w:val="15"/>
            </w:pPr>
            <w:r>
              <w:t>耕地质量得到提高，生态环境得到改善</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县域内农户耕种满意度</w:t>
            </w:r>
          </w:p>
        </w:tc>
        <w:tc>
          <w:tcPr>
            <w:tcW w:w="5386" w:type="dxa"/>
            <w:tcBorders>
              <w:top w:val="single" w:color="000000" w:sz="6" w:space="0"/>
              <w:left w:val="single" w:color="000000" w:sz="6" w:space="0"/>
              <w:right w:val="single" w:color="000000" w:sz="6" w:space="0"/>
            </w:tcBorders>
            <w:vAlign w:val="center"/>
          </w:tcPr>
          <w:p>
            <w:pPr>
              <w:pStyle w:val="15"/>
            </w:pPr>
            <w:r>
              <w:t>对耕地质量等别更新后的效果满意度进行满意度问卷调查，满意度=满意的问卷数/有效问卷数</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5、昌黎县2025年新增专项债券用于政府拖欠企业账款-(6.30)6658040278462505274-昌黎县2023年茹荷镇胡草科村等三村土地整治（占补平衡）项目工程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13032225P002295101489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昌黎县2025年新增专项债券用于政府拖欠企业账款-(6.30)6658040278462505274-昌黎县2023年茹荷镇胡草科村等三村土地整治（占补平衡）项目工程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19万元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6、昌黎县2025年新增专项债券用于政府拖欠企业账款-(6.30)6658040278462505373-昌黎县茹荷镇大东庄村等二村土地整治（占补平衡）项目工程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13032225P00229510147M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昌黎县2025年新增专项债券用于政府拖欠企业账款-(6.30)6658040278462505373-昌黎县茹荷镇大东庄村等二村土地整治（占补平衡）项目工程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9万元</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7、昌黎县非煤矿山行业发展规划实施方案和综合治理规划编制项目绩效目标表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13032226P00212210236J</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昌黎县非煤矿山行业发展规划实施方案和综合治理规划编制项目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昌黎县非煤矿山行业发展规划(2021—2025年)实施方案和非煤矿山综合治理规划（2023-2030年）编制报告各1套</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1.昌黎县非煤矿山行业发展规划(2021—2025年)实施方案和非煤矿山综合治理规划（2023-2030年）编制报告各1套</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昌黎县非煤矿山行业发展规划(2021—2025年)实施方案和非煤矿山综合治理规划（2023-2030年）编制报告各1套</w:t>
            </w:r>
          </w:p>
        </w:tc>
        <w:tc>
          <w:tcPr>
            <w:tcW w:w="5386" w:type="dxa"/>
            <w:tcBorders>
              <w:top w:val="single" w:color="000000" w:sz="6" w:space="0"/>
              <w:left w:val="single" w:color="000000" w:sz="6" w:space="0"/>
              <w:right w:val="single" w:color="000000" w:sz="6" w:space="0"/>
            </w:tcBorders>
            <w:vAlign w:val="center"/>
          </w:tcPr>
          <w:p>
            <w:pPr>
              <w:pStyle w:val="15"/>
            </w:pPr>
            <w:r>
              <w:t>按照规划编制要求进行编制</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编制项目合同书内容为准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规划编制完成时间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以合同约定时间为准</w:t>
            </w:r>
          </w:p>
        </w:tc>
        <w:tc>
          <w:tcPr>
            <w:tcW w:w="1276" w:type="dxa"/>
            <w:vAlign w:val="center"/>
          </w:tcPr>
          <w:p>
            <w:pPr>
              <w:pStyle w:val="15"/>
            </w:pPr>
            <w:r>
              <w:t>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规划编制报告质量</w:t>
            </w:r>
          </w:p>
        </w:tc>
        <w:tc>
          <w:tcPr>
            <w:tcW w:w="5386" w:type="dxa"/>
            <w:tcBorders>
              <w:top w:val="single" w:color="000000" w:sz="6" w:space="0"/>
              <w:left w:val="single" w:color="000000" w:sz="6" w:space="0"/>
              <w:right w:val="single" w:color="000000" w:sz="6" w:space="0"/>
            </w:tcBorders>
            <w:vAlign w:val="center"/>
          </w:tcPr>
          <w:p>
            <w:pPr>
              <w:pStyle w:val="15"/>
            </w:pPr>
            <w:r>
              <w:t>严格按照要求编写，并通过专家批评审</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指标使用可持续年限</w:t>
            </w:r>
          </w:p>
        </w:tc>
        <w:tc>
          <w:tcPr>
            <w:tcW w:w="5386" w:type="dxa"/>
            <w:tcBorders>
              <w:top w:val="single" w:color="000000" w:sz="6" w:space="0"/>
              <w:left w:val="single" w:color="000000" w:sz="6" w:space="0"/>
              <w:right w:val="single" w:color="000000" w:sz="6" w:space="0"/>
            </w:tcBorders>
            <w:vAlign w:val="center"/>
          </w:tcPr>
          <w:p>
            <w:pPr>
              <w:pStyle w:val="15"/>
            </w:pPr>
            <w:r>
              <w:t>矿山各项指标使用可持续年限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结合我县实际情况细化和落实上级指标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建立综合管理平台，增加矿山收入</w:t>
            </w:r>
          </w:p>
        </w:tc>
        <w:tc>
          <w:tcPr>
            <w:tcW w:w="5386" w:type="dxa"/>
            <w:tcBorders>
              <w:top w:val="single" w:color="000000" w:sz="6" w:space="0"/>
              <w:left w:val="single" w:color="000000" w:sz="6" w:space="0"/>
              <w:right w:val="single" w:color="000000" w:sz="6" w:space="0"/>
            </w:tcBorders>
            <w:vAlign w:val="center"/>
          </w:tcPr>
          <w:p>
            <w:pPr>
              <w:pStyle w:val="15"/>
            </w:pPr>
            <w:r>
              <w:t>全面掌握我县矿山开发利用情况，提高经济收入</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掌握矿产资源数据</w:t>
            </w:r>
          </w:p>
        </w:tc>
        <w:tc>
          <w:tcPr>
            <w:tcW w:w="5386" w:type="dxa"/>
            <w:tcBorders>
              <w:top w:val="single" w:color="000000" w:sz="6" w:space="0"/>
              <w:left w:val="single" w:color="000000" w:sz="6" w:space="0"/>
              <w:right w:val="single" w:color="000000" w:sz="6" w:space="0"/>
            </w:tcBorders>
            <w:vAlign w:val="center"/>
          </w:tcPr>
          <w:p>
            <w:pPr>
              <w:pStyle w:val="15"/>
            </w:pPr>
            <w:r>
              <w:t>准确掌握矿产资源数据，为科学管理矿山提供服务</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成果满意度</w:t>
            </w:r>
          </w:p>
        </w:tc>
        <w:tc>
          <w:tcPr>
            <w:tcW w:w="5386" w:type="dxa"/>
            <w:tcBorders>
              <w:top w:val="single" w:color="000000" w:sz="6" w:space="0"/>
              <w:left w:val="single" w:color="000000" w:sz="6" w:space="0"/>
              <w:right w:val="single" w:color="000000" w:sz="6" w:space="0"/>
            </w:tcBorders>
            <w:vAlign w:val="center"/>
          </w:tcPr>
          <w:p>
            <w:pPr>
              <w:pStyle w:val="15"/>
            </w:pPr>
            <w:r>
              <w:t>对提交成果的满意度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8、昌黎县国土空间规划城市体检评估绩效目标表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13032226P00212210238R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昌黎县国土空间规划城市体检评估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28.40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28.40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昌黎县国土空间规划城市体检评估，为高水平高质量编制审批国土空间总体规划提供支撑。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1.昌黎县国土空间规划城市体检评估，为高水平高质量编制审批国土空间总体规划提供支撑。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国土空间规划城市体检评估的数量</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《河北省自然资源厅关于开展国土空间规划城市体检评估工作的通知》</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28.4万元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成果及时完成数量占成果应完成数量的比例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成果通过县级审查的数量占产出成果总数量的比例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项目对经济发展所带来的效益</w:t>
            </w:r>
          </w:p>
        </w:tc>
        <w:tc>
          <w:tcPr>
            <w:tcW w:w="5386" w:type="dxa"/>
            <w:tcBorders>
              <w:top w:val="single" w:color="000000" w:sz="6" w:space="0"/>
              <w:left w:val="single" w:color="000000" w:sz="6" w:space="0"/>
              <w:right w:val="single" w:color="000000" w:sz="6" w:space="0"/>
            </w:tcBorders>
            <w:vAlign w:val="center"/>
          </w:tcPr>
          <w:p>
            <w:pPr>
              <w:pStyle w:val="15"/>
            </w:pPr>
            <w:r>
              <w:t>项目对国民经济和区域经济发展所带来的直接或间接效益</w:t>
            </w:r>
          </w:p>
        </w:tc>
        <w:tc>
          <w:tcPr>
            <w:tcW w:w="2268" w:type="dxa"/>
            <w:tcBorders>
              <w:top w:val="single" w:color="000000" w:sz="6" w:space="0"/>
              <w:left w:val="single" w:color="000000" w:sz="6" w:space="0"/>
              <w:right w:val="single" w:color="000000" w:sz="6" w:space="0"/>
            </w:tcBorders>
            <w:vAlign w:val="center"/>
          </w:tcPr>
          <w:p>
            <w:pPr>
              <w:pStyle w:val="15"/>
            </w:pPr>
            <w:r>
              <w:t>≥10万 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健全完善国土空间规划“一张图”实施监督信息系统程度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相关部门和群众对成果的满意程度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当地部门对成果的满意的部门数占调查部门总数的比例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9、昌黎县国土空间规划实施评估绩效目标表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13032226P00212210239D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昌黎县国土空间规划实施评估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构建指标体系,完成镇区实体地域范围更新确认工作,完成昌黎县国土空间规划实施评估报告编制，并按照部省要求编制相关附件。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1.构建指标体系,完成镇区实体地域范围更新确认工作,完成昌黎县国土空间规划实施评估报告编制，并按照部省要求编制相关附件。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按要求完成报告、数据库数量</w:t>
            </w:r>
          </w:p>
        </w:tc>
        <w:tc>
          <w:tcPr>
            <w:tcW w:w="2268" w:type="dxa"/>
            <w:tcBorders>
              <w:top w:val="single" w:color="000000" w:sz="6" w:space="0"/>
              <w:left w:val="single" w:color="000000" w:sz="6" w:space="0"/>
              <w:right w:val="single" w:color="000000" w:sz="6" w:space="0"/>
            </w:tcBorders>
            <w:vAlign w:val="center"/>
          </w:tcPr>
          <w:p>
            <w:pPr>
              <w:pStyle w:val="15"/>
            </w:pPr>
            <w:r>
              <w:t>≥2套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规划成果通过审查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发现城市在生态安全方面存在的问题，提出有针对性的建议条数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评估成果应用于规划编制、实施、调整优化规划管理工作中可持续年限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发现城市在资源节约集约</w:t>
            </w:r>
          </w:p>
        </w:tc>
        <w:tc>
          <w:tcPr>
            <w:tcW w:w="2268" w:type="dxa"/>
            <w:tcBorders>
              <w:top w:val="single" w:color="000000" w:sz="6" w:space="0"/>
              <w:left w:val="single" w:color="000000" w:sz="6" w:space="0"/>
              <w:right w:val="single" w:color="000000" w:sz="6" w:space="0"/>
            </w:tcBorders>
            <w:vAlign w:val="center"/>
          </w:tcPr>
          <w:p>
            <w:pPr>
              <w:pStyle w:val="15"/>
            </w:pPr>
            <w:r>
              <w:t>≥5%</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查找城市在人民群众最关心方面的问题，提出有针对性的建议条数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10、昌黎县国土空间总体规划编制绩效目标表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13032226P00212210241C</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支付国土空间总规编制费。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1.按照“两个一百年”奋斗目标和“五位一体”总体布局，落实国家、省、市重大战略决策部署，紧紧围绕我县生态优先、绿色发展，提出2035年县域国土空间发展目标，明确各项约束性和引导性指标。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国土空间总体规划成果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成果通过市级审查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本期投入该项目资金</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生态空间保护情况</w:t>
            </w:r>
          </w:p>
        </w:tc>
        <w:tc>
          <w:tcPr>
            <w:tcW w:w="5386" w:type="dxa"/>
            <w:tcBorders>
              <w:top w:val="single" w:color="000000" w:sz="6" w:space="0"/>
              <w:left w:val="single" w:color="000000" w:sz="6" w:space="0"/>
              <w:right w:val="single" w:color="000000" w:sz="6" w:space="0"/>
            </w:tcBorders>
            <w:vAlign w:val="center"/>
          </w:tcPr>
          <w:p>
            <w:pPr>
              <w:pStyle w:val="15"/>
            </w:pPr>
            <w:r>
              <w:t>划定生态保护红线，达到上级下达约束性指标，划定生态保护红线比例=实际划定生态保护红线面积/上级下达的生态红线约束性指标面积</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国土空间总体规划持续发挥作用期限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有利于土地集约节约程度提高</w:t>
            </w:r>
          </w:p>
        </w:tc>
        <w:tc>
          <w:tcPr>
            <w:tcW w:w="5386" w:type="dxa"/>
            <w:tcBorders>
              <w:top w:val="single" w:color="000000" w:sz="6" w:space="0"/>
              <w:left w:val="single" w:color="000000" w:sz="6" w:space="0"/>
              <w:right w:val="single" w:color="000000" w:sz="6" w:space="0"/>
            </w:tcBorders>
            <w:vAlign w:val="center"/>
          </w:tcPr>
          <w:p>
            <w:pPr>
              <w:pStyle w:val="15"/>
            </w:pPr>
            <w:r>
              <w:t>万元GDP地耗（河北省平均水平63公顷/万元）</w:t>
            </w:r>
          </w:p>
        </w:tc>
        <w:tc>
          <w:tcPr>
            <w:tcW w:w="2268" w:type="dxa"/>
            <w:tcBorders>
              <w:top w:val="single" w:color="000000" w:sz="6" w:space="0"/>
              <w:left w:val="single" w:color="000000" w:sz="6" w:space="0"/>
              <w:right w:val="single" w:color="000000" w:sz="6" w:space="0"/>
            </w:tcBorders>
            <w:vAlign w:val="center"/>
          </w:tcPr>
          <w:p>
            <w:pPr>
              <w:pStyle w:val="15"/>
            </w:pPr>
            <w:r>
              <w:t>≤63万元</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形成国土空间规划数据库，并纳入“一张图”实施监督信息系统</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对当地部门对规划的满意程度进行问卷调查，满意数占调查总数的比例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11、昌黎县海域价格评估报告绩效目标表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13032226P00212210233P</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昌黎县海域价格评估报告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海域价格评估报告作为我县2025年养殖用海续期时征收海域使用金和未来出让时设定起始价标准的科学依据。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1.海域价格评估报告作为我县2025年养殖用海续期时征收海域使用金和未来出让时设定起始价标准的科学依据。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海域价格评估报告</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海域价格评估论证报告质量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报告使用期限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12、昌黎县开放式养殖区海域使用论证报告书绩效目标表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13032226P002122102324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昌黎县开放式养殖区海域使用论证报告书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26.50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26.50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海域使用论证报告作为我县2025年养殖用海续期和未来出让计划的科学依据。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1.海域使用论证报告作为我县2025年养殖用海续期和未来出让计划的科学依据。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昌黎县开放式用海海域使用论证报告书</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海域使用论证报告书质量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项目严格履行验收制度，认真及时组织验收管理，达到技术导则要求并符合专家验收程序和标准</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≤26.5万元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养殖科学布局</w:t>
            </w:r>
          </w:p>
        </w:tc>
        <w:tc>
          <w:tcPr>
            <w:tcW w:w="5386" w:type="dxa"/>
            <w:tcBorders>
              <w:top w:val="single" w:color="000000" w:sz="6" w:space="0"/>
              <w:left w:val="single" w:color="000000" w:sz="6" w:space="0"/>
              <w:right w:val="single" w:color="000000" w:sz="6" w:space="0"/>
            </w:tcBorders>
            <w:vAlign w:val="center"/>
          </w:tcPr>
          <w:p>
            <w:pPr>
              <w:pStyle w:val="15"/>
            </w:pPr>
            <w:r>
              <w:t>改善海域生态环境，提升海洋服务功能次数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海域使用期限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13、昌黎县杏树园村十里铺乡条子峪村地质灾害治理工程款绩效目标表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13032226P002122102376</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昌黎县杏树园村十里铺乡条子峪村地质灾害治理工程款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通过治理项目，消除安全隐患，确保人民群众生命财产安全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1.通过治理项目，消除安全隐患，确保人民群众生命财产安全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治理个数</w:t>
            </w:r>
          </w:p>
        </w:tc>
        <w:tc>
          <w:tcPr>
            <w:tcW w:w="5386" w:type="dxa"/>
            <w:tcBorders>
              <w:top w:val="single" w:color="000000" w:sz="6" w:space="0"/>
              <w:left w:val="single" w:color="000000" w:sz="6" w:space="0"/>
              <w:right w:val="single" w:color="000000" w:sz="6" w:space="0"/>
            </w:tcBorders>
            <w:vAlign w:val="center"/>
          </w:tcPr>
          <w:p>
            <w:pPr>
              <w:pStyle w:val="15"/>
            </w:pPr>
            <w:r>
              <w:t>完成地质灾害隐患点治理任务</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前期勘查设计、预算编制和县政府指示精神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达到标准</w:t>
            </w:r>
          </w:p>
        </w:tc>
        <w:tc>
          <w:tcPr>
            <w:tcW w:w="5386" w:type="dxa"/>
            <w:tcBorders>
              <w:top w:val="single" w:color="000000" w:sz="6" w:space="0"/>
              <w:left w:val="single" w:color="000000" w:sz="6" w:space="0"/>
              <w:right w:val="single" w:color="000000" w:sz="6" w:space="0"/>
            </w:tcBorders>
            <w:vAlign w:val="center"/>
          </w:tcPr>
          <w:p>
            <w:pPr>
              <w:pStyle w:val="15"/>
            </w:pPr>
            <w:r>
              <w:t>达到消除隐患目标，验收合格率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工程按时完成率</w:t>
            </w:r>
          </w:p>
        </w:tc>
        <w:tc>
          <w:tcPr>
            <w:tcW w:w="5386" w:type="dxa"/>
            <w:tcBorders>
              <w:top w:val="single" w:color="000000" w:sz="6" w:space="0"/>
              <w:left w:val="single" w:color="000000" w:sz="6" w:space="0"/>
              <w:right w:val="single" w:color="000000" w:sz="6" w:space="0"/>
            </w:tcBorders>
            <w:vAlign w:val="center"/>
          </w:tcPr>
          <w:p>
            <w:pPr>
              <w:pStyle w:val="15"/>
            </w:pPr>
            <w:r>
              <w:t>按时完成工程个数/按要求完成的个数*100%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县委、县政府主要领导下达的任务时限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成本节约率</w:t>
            </w:r>
          </w:p>
        </w:tc>
        <w:tc>
          <w:tcPr>
            <w:tcW w:w="5386" w:type="dxa"/>
            <w:tcBorders>
              <w:top w:val="single" w:color="000000" w:sz="6" w:space="0"/>
              <w:left w:val="single" w:color="000000" w:sz="6" w:space="0"/>
              <w:right w:val="single" w:color="000000" w:sz="6" w:space="0"/>
            </w:tcBorders>
            <w:vAlign w:val="center"/>
          </w:tcPr>
          <w:p>
            <w:pPr>
              <w:pStyle w:val="15"/>
            </w:pPr>
            <w:r>
              <w:t>（项目预算-结算工程成本）/项目预算</w:t>
            </w:r>
          </w:p>
        </w:tc>
        <w:tc>
          <w:tcPr>
            <w:tcW w:w="2268" w:type="dxa"/>
            <w:tcBorders>
              <w:top w:val="single" w:color="000000" w:sz="6" w:space="0"/>
              <w:left w:val="single" w:color="000000" w:sz="6" w:space="0"/>
              <w:right w:val="single" w:color="000000" w:sz="6" w:space="0"/>
            </w:tcBorders>
            <w:vAlign w:val="center"/>
          </w:tcPr>
          <w:p>
            <w:pPr>
              <w:pStyle w:val="15"/>
            </w:pPr>
            <w:r>
              <w:t>≥1万元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恢复自然环境</w:t>
            </w:r>
          </w:p>
        </w:tc>
        <w:tc>
          <w:tcPr>
            <w:tcW w:w="5386" w:type="dxa"/>
            <w:tcBorders>
              <w:top w:val="single" w:color="000000" w:sz="6" w:space="0"/>
              <w:left w:val="single" w:color="000000" w:sz="6" w:space="0"/>
              <w:right w:val="single" w:color="000000" w:sz="6" w:space="0"/>
            </w:tcBorders>
            <w:vAlign w:val="center"/>
          </w:tcPr>
          <w:p>
            <w:pPr>
              <w:pStyle w:val="15"/>
            </w:pPr>
            <w:r>
              <w:t>通过治理项目恢复当地自然环境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项目实施对周边的影响</w:t>
            </w:r>
          </w:p>
        </w:tc>
        <w:tc>
          <w:tcPr>
            <w:tcW w:w="5386" w:type="dxa"/>
            <w:tcBorders>
              <w:top w:val="single" w:color="000000" w:sz="6" w:space="0"/>
              <w:left w:val="single" w:color="000000" w:sz="6" w:space="0"/>
              <w:right w:val="single" w:color="000000" w:sz="6" w:space="0"/>
            </w:tcBorders>
            <w:vAlign w:val="center"/>
          </w:tcPr>
          <w:p>
            <w:pPr>
              <w:pStyle w:val="15"/>
            </w:pPr>
            <w:r>
              <w:t>通过治理，影响周围环境年限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有效保证人民群众生命财产安全</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通过治理项目，消除安全隐患，降低人民群众生命财产损失</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治理区域周边人员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通过治理项目，消除安全隐患个数</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满意人口数占调查总数比重</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14、昌黎县中心城区详细规划绩效目标表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13032226P002122102420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昌黎县中心城区详细规划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修编昌黎县中心城区和黄金海岸北区控制性详细规划，完善市政、公共服务、公共安全等配套设施；科学确定规划指标，加强对建筑高度、容积率和建筑间距管控。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1.依据昌黎县国土空间总体规划，重新修编昌黎县中心城区和黄金海岸北区控制性详细规划，完善市政、公共服务、公共安全等配套设施；科学确定规划指标，加强对建筑高度、容积率和建筑间距管控。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完整的规划成果</w:t>
            </w:r>
          </w:p>
        </w:tc>
        <w:tc>
          <w:tcPr>
            <w:tcW w:w="5386" w:type="dxa"/>
            <w:tcBorders>
              <w:top w:val="single" w:color="000000" w:sz="6" w:space="0"/>
              <w:left w:val="single" w:color="000000" w:sz="6" w:space="0"/>
              <w:right w:val="single" w:color="000000" w:sz="6" w:space="0"/>
            </w:tcBorders>
            <w:vAlign w:val="center"/>
          </w:tcPr>
          <w:p>
            <w:pPr>
              <w:pStyle w:val="15"/>
            </w:pPr>
            <w:r>
              <w:t>按照现有国家有关规定，提供纸质成果和电子成果。并满足国土空间规划监测评估预警管理系统相关要求</w:t>
            </w:r>
          </w:p>
        </w:tc>
        <w:tc>
          <w:tcPr>
            <w:tcW w:w="2268" w:type="dxa"/>
            <w:tcBorders>
              <w:top w:val="single" w:color="000000" w:sz="6" w:space="0"/>
              <w:left w:val="single" w:color="000000" w:sz="6" w:space="0"/>
              <w:right w:val="single" w:color="000000" w:sz="6" w:space="0"/>
            </w:tcBorders>
            <w:vAlign w:val="center"/>
          </w:tcPr>
          <w:p>
            <w:pPr>
              <w:pStyle w:val="15"/>
            </w:pPr>
            <w:r>
              <w:t>2个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成果完成率</w:t>
            </w:r>
          </w:p>
        </w:tc>
        <w:tc>
          <w:tcPr>
            <w:tcW w:w="5386" w:type="dxa"/>
            <w:tcBorders>
              <w:top w:val="single" w:color="000000" w:sz="6" w:space="0"/>
              <w:left w:val="single" w:color="000000" w:sz="6" w:space="0"/>
              <w:right w:val="single" w:color="000000" w:sz="6" w:space="0"/>
            </w:tcBorders>
            <w:vAlign w:val="center"/>
          </w:tcPr>
          <w:p>
            <w:pPr>
              <w:pStyle w:val="15"/>
            </w:pPr>
            <w:r>
              <w:t>按照市县要求，编制完成最终成果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本期投入该项目金额</w:t>
            </w:r>
          </w:p>
        </w:tc>
        <w:tc>
          <w:tcPr>
            <w:tcW w:w="2268" w:type="dxa"/>
            <w:tcBorders>
              <w:top w:val="single" w:color="000000" w:sz="6" w:space="0"/>
              <w:left w:val="single" w:color="000000" w:sz="6" w:space="0"/>
              <w:right w:val="single" w:color="000000" w:sz="6" w:space="0"/>
            </w:tcBorders>
            <w:vAlign w:val="center"/>
          </w:tcPr>
          <w:p>
            <w:pPr>
              <w:pStyle w:val="15"/>
            </w:pPr>
            <w:r>
              <w:t>60万元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确定各地块绿地率指标</w:t>
            </w:r>
          </w:p>
        </w:tc>
        <w:tc>
          <w:tcPr>
            <w:tcW w:w="5386" w:type="dxa"/>
            <w:tcBorders>
              <w:top w:val="single" w:color="000000" w:sz="6" w:space="0"/>
              <w:left w:val="single" w:color="000000" w:sz="6" w:space="0"/>
              <w:right w:val="single" w:color="000000" w:sz="6" w:space="0"/>
            </w:tcBorders>
            <w:vAlign w:val="center"/>
          </w:tcPr>
          <w:p>
            <w:pPr>
              <w:pStyle w:val="15"/>
            </w:pPr>
            <w:r>
              <w:t>优化绿地指标、有效指导各地块的修建性详细规划，提高人居环境的舒适度。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项目实施可持续年限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有效指导城市更新及开发建设</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优化配置城市各项公共资源</w:t>
            </w:r>
          </w:p>
        </w:tc>
        <w:tc>
          <w:tcPr>
            <w:tcW w:w="5386" w:type="dxa"/>
            <w:tcBorders>
              <w:top w:val="single" w:color="000000" w:sz="6" w:space="0"/>
              <w:left w:val="single" w:color="000000" w:sz="6" w:space="0"/>
              <w:right w:val="single" w:color="000000" w:sz="6" w:space="0"/>
            </w:tcBorders>
            <w:vAlign w:val="center"/>
          </w:tcPr>
          <w:p>
            <w:pPr>
              <w:pStyle w:val="15"/>
            </w:pPr>
            <w:r>
              <w:t>明确公共设施、市政设施和公益设施等配置标准数量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相关部门和公众对规划的满意程度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当地部门和群众对规划的满意程度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15、昌黎县自然资源统一确权绩效目标表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13032226P00212210227A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昌黎县自然资源统一确权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21.00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21.00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全面查清我县当前河湖、水库、湿地及矿产储量；核实我县现有自然资源实际变化程度</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1.全面查清我县当前河湖、水库、湿地及矿产储量；核实我县现有自然资源实际变化程度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调查不动产登记数据入库信息个数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在全县范围内实地调查土地的6个河湖、5个水库、1个湿地及矿产储量的分布及利用状况。</w:t>
            </w:r>
          </w:p>
        </w:tc>
        <w:tc>
          <w:tcPr>
            <w:tcW w:w="2268" w:type="dxa"/>
            <w:tcBorders>
              <w:top w:val="single" w:color="000000" w:sz="6" w:space="0"/>
              <w:left w:val="single" w:color="000000" w:sz="6" w:space="0"/>
              <w:right w:val="single" w:color="000000" w:sz="6" w:space="0"/>
            </w:tcBorders>
            <w:vAlign w:val="center"/>
          </w:tcPr>
          <w:p>
            <w:pPr>
              <w:pStyle w:val="15"/>
            </w:pPr>
            <w:r>
              <w:t>≥12个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≤1你</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≤21万元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16、打击非法挖沙取土破坏土地及非法采矿专项费用绩效目标表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13032226P00212210231G</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打击非法挖沙取土破坏土地及非法采矿专项费用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按照县委县政府要求打击非法挖砂取土破坏土地及非法采矿行为经费。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1.按照县委县政府要求打击非法挖砂取土破坏土地及非法采矿行为。</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打击违法案件数量</w:t>
            </w:r>
          </w:p>
        </w:tc>
        <w:tc>
          <w:tcPr>
            <w:tcW w:w="5386" w:type="dxa"/>
            <w:tcBorders>
              <w:top w:val="single" w:color="000000" w:sz="6" w:space="0"/>
              <w:left w:val="single" w:color="000000" w:sz="6" w:space="0"/>
              <w:right w:val="single" w:color="000000" w:sz="6" w:space="0"/>
            </w:tcBorders>
            <w:vAlign w:val="center"/>
          </w:tcPr>
          <w:p>
            <w:pPr>
              <w:pStyle w:val="15"/>
            </w:pPr>
            <w:r>
              <w:t>对非法挖砂取土破坏土地及非法采矿进行打击，依法查处。</w:t>
            </w:r>
          </w:p>
        </w:tc>
        <w:tc>
          <w:tcPr>
            <w:tcW w:w="2268" w:type="dxa"/>
            <w:tcBorders>
              <w:top w:val="single" w:color="000000" w:sz="6" w:space="0"/>
              <w:left w:val="single" w:color="000000" w:sz="6" w:space="0"/>
              <w:right w:val="single" w:color="000000" w:sz="6" w:space="0"/>
            </w:tcBorders>
            <w:vAlign w:val="center"/>
          </w:tcPr>
          <w:p>
            <w:pPr>
              <w:pStyle w:val="15"/>
            </w:pPr>
            <w:r>
              <w:t>&gt;1件</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打击非法挖砂取土破坏土地达到要求</w:t>
            </w:r>
          </w:p>
        </w:tc>
        <w:tc>
          <w:tcPr>
            <w:tcW w:w="5386" w:type="dxa"/>
            <w:tcBorders>
              <w:top w:val="single" w:color="000000" w:sz="6" w:space="0"/>
              <w:left w:val="single" w:color="000000" w:sz="6" w:space="0"/>
              <w:right w:val="single" w:color="000000" w:sz="6" w:space="0"/>
            </w:tcBorders>
            <w:vAlign w:val="center"/>
          </w:tcPr>
          <w:p>
            <w:pPr>
              <w:pStyle w:val="15"/>
            </w:pPr>
            <w:r>
              <w:t>按要求打击非法采矿</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打击违法案件数量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费用拨付及时率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合同时限内完成</w:t>
            </w:r>
          </w:p>
        </w:tc>
        <w:tc>
          <w:tcPr>
            <w:tcW w:w="1276" w:type="dxa"/>
            <w:vAlign w:val="center"/>
          </w:tcPr>
          <w:p>
            <w:pPr>
              <w:pStyle w:val="15"/>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打击费用金额</w:t>
            </w:r>
          </w:p>
        </w:tc>
        <w:tc>
          <w:tcPr>
            <w:tcW w:w="5386" w:type="dxa"/>
            <w:tcBorders>
              <w:top w:val="single" w:color="000000" w:sz="6" w:space="0"/>
              <w:left w:val="single" w:color="000000" w:sz="6" w:space="0"/>
              <w:right w:val="single" w:color="000000" w:sz="6" w:space="0"/>
            </w:tcBorders>
            <w:vAlign w:val="center"/>
          </w:tcPr>
          <w:p>
            <w:pPr>
              <w:pStyle w:val="15"/>
            </w:pPr>
            <w:r>
              <w:t>打击非法挖砂取土破坏土地及非法采矿案件费用金额</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改善县域环境</w:t>
            </w:r>
          </w:p>
        </w:tc>
        <w:tc>
          <w:tcPr>
            <w:tcW w:w="5386" w:type="dxa"/>
            <w:tcBorders>
              <w:top w:val="single" w:color="000000" w:sz="6" w:space="0"/>
              <w:left w:val="single" w:color="000000" w:sz="6" w:space="0"/>
              <w:right w:val="single" w:color="000000" w:sz="6" w:space="0"/>
            </w:tcBorders>
            <w:vAlign w:val="center"/>
          </w:tcPr>
          <w:p>
            <w:pPr>
              <w:pStyle w:val="15"/>
            </w:pPr>
            <w:r>
              <w:t>地块面貌改善对环境的提高</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挖沙取土破坏土地及非法采矿地块情况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依法打击非法挖砂取土破坏土地的影响力</w:t>
            </w:r>
          </w:p>
        </w:tc>
        <w:tc>
          <w:tcPr>
            <w:tcW w:w="5386" w:type="dxa"/>
            <w:tcBorders>
              <w:top w:val="single" w:color="000000" w:sz="6" w:space="0"/>
              <w:left w:val="single" w:color="000000" w:sz="6" w:space="0"/>
              <w:right w:val="single" w:color="000000" w:sz="6" w:space="0"/>
            </w:tcBorders>
            <w:vAlign w:val="center"/>
          </w:tcPr>
          <w:p>
            <w:pPr>
              <w:pStyle w:val="15"/>
            </w:pPr>
            <w:r>
              <w:t>可持续影响年限</w:t>
            </w:r>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增加罚没收入</w:t>
            </w:r>
          </w:p>
        </w:tc>
        <w:tc>
          <w:tcPr>
            <w:tcW w:w="5386" w:type="dxa"/>
            <w:tcBorders>
              <w:top w:val="single" w:color="000000" w:sz="6" w:space="0"/>
              <w:left w:val="single" w:color="000000" w:sz="6" w:space="0"/>
              <w:right w:val="single" w:color="000000" w:sz="6" w:space="0"/>
            </w:tcBorders>
            <w:vAlign w:val="center"/>
          </w:tcPr>
          <w:p>
            <w:pPr>
              <w:pStyle w:val="15"/>
            </w:pPr>
            <w:r>
              <w:t>对违法行为人依法收缴罚没款</w:t>
            </w:r>
          </w:p>
        </w:tc>
        <w:tc>
          <w:tcPr>
            <w:tcW w:w="2268" w:type="dxa"/>
            <w:tcBorders>
              <w:top w:val="single" w:color="000000" w:sz="6" w:space="0"/>
              <w:left w:val="single" w:color="000000" w:sz="6" w:space="0"/>
              <w:right w:val="single" w:color="000000" w:sz="6" w:space="0"/>
            </w:tcBorders>
            <w:vAlign w:val="center"/>
          </w:tcPr>
          <w:p>
            <w:pPr>
              <w:pStyle w:val="15"/>
            </w:pPr>
            <w:r>
              <w:t>≥5万元</w:t>
            </w:r>
          </w:p>
        </w:tc>
        <w:tc>
          <w:tcPr>
            <w:tcW w:w="1276" w:type="dxa"/>
            <w:vAlign w:val="center"/>
          </w:tcPr>
          <w:p>
            <w:pPr>
              <w:pStyle w:val="15"/>
            </w:pPr>
            <w:r>
              <w:t>地块面积、深度、是否回填、矿产品种类、方量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维护良好的土地管理秩序</w:t>
            </w:r>
          </w:p>
        </w:tc>
        <w:tc>
          <w:tcPr>
            <w:tcW w:w="5386" w:type="dxa"/>
            <w:tcBorders>
              <w:top w:val="single" w:color="000000" w:sz="6" w:space="0"/>
              <w:left w:val="single" w:color="000000" w:sz="6" w:space="0"/>
              <w:right w:val="single" w:color="000000" w:sz="6" w:space="0"/>
            </w:tcBorders>
            <w:vAlign w:val="center"/>
          </w:tcPr>
          <w:p>
            <w:pPr>
              <w:pStyle w:val="15"/>
            </w:pPr>
            <w:r>
              <w:t>保证土地资源不被破坏</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员工满意度</w:t>
            </w:r>
          </w:p>
        </w:tc>
        <w:tc>
          <w:tcPr>
            <w:tcW w:w="5386" w:type="dxa"/>
            <w:tcBorders>
              <w:top w:val="single" w:color="000000" w:sz="6" w:space="0"/>
              <w:left w:val="single" w:color="000000" w:sz="6" w:space="0"/>
              <w:right w:val="single" w:color="000000" w:sz="6" w:space="0"/>
            </w:tcBorders>
            <w:vAlign w:val="center"/>
          </w:tcPr>
          <w:p>
            <w:pPr>
              <w:pStyle w:val="15"/>
            </w:pPr>
            <w:r>
              <w:t>调查满意人员满意人数占调查人数的比例</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17、非农建设补充耕地项目绩效目标表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13032226P002325100059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非农建设补充耕地项目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完成非农建设补充耕地4000亩</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1.完成非农建设补充耕地4000亩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耕地面积</w:t>
            </w:r>
          </w:p>
        </w:tc>
        <w:tc>
          <w:tcPr>
            <w:tcW w:w="5386" w:type="dxa"/>
            <w:tcBorders>
              <w:top w:val="single" w:color="000000" w:sz="6" w:space="0"/>
              <w:left w:val="single" w:color="000000" w:sz="6" w:space="0"/>
              <w:right w:val="single" w:color="000000" w:sz="6" w:space="0"/>
            </w:tcBorders>
            <w:vAlign w:val="center"/>
          </w:tcPr>
          <w:p>
            <w:pPr>
              <w:pStyle w:val="15"/>
            </w:pPr>
            <w:r>
              <w:t>完成补充耕地面积</w:t>
            </w:r>
          </w:p>
        </w:tc>
        <w:tc>
          <w:tcPr>
            <w:tcW w:w="2268" w:type="dxa"/>
            <w:tcBorders>
              <w:top w:val="single" w:color="000000" w:sz="6" w:space="0"/>
              <w:left w:val="single" w:color="000000" w:sz="6" w:space="0"/>
              <w:right w:val="single" w:color="000000" w:sz="6" w:space="0"/>
            </w:tcBorders>
            <w:vAlign w:val="center"/>
          </w:tcPr>
          <w:p>
            <w:pPr>
              <w:pStyle w:val="15"/>
            </w:pPr>
            <w:r>
              <w:t>≥4000亩</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工程质量达标情况</w:t>
            </w:r>
          </w:p>
        </w:tc>
        <w:tc>
          <w:tcPr>
            <w:tcW w:w="5386" w:type="dxa"/>
            <w:tcBorders>
              <w:top w:val="single" w:color="000000" w:sz="6" w:space="0"/>
              <w:left w:val="single" w:color="000000" w:sz="6" w:space="0"/>
              <w:right w:val="single" w:color="000000" w:sz="6" w:space="0"/>
            </w:tcBorders>
            <w:vAlign w:val="center"/>
          </w:tcPr>
          <w:p>
            <w:pPr>
              <w:pStyle w:val="15"/>
            </w:pPr>
            <w:r>
              <w:t>项目通过验收率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项目完成时间情况</w:t>
            </w:r>
          </w:p>
        </w:tc>
        <w:tc>
          <w:tcPr>
            <w:tcW w:w="5386" w:type="dxa"/>
            <w:tcBorders>
              <w:top w:val="single" w:color="000000" w:sz="6" w:space="0"/>
              <w:left w:val="single" w:color="000000" w:sz="6" w:space="0"/>
              <w:right w:val="single" w:color="000000" w:sz="6" w:space="0"/>
            </w:tcBorders>
            <w:vAlign w:val="center"/>
          </w:tcPr>
          <w:p>
            <w:pPr>
              <w:pStyle w:val="15"/>
            </w:pPr>
            <w:r>
              <w:t>项目在规定时间完成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本年度发生的成本</w:t>
            </w:r>
          </w:p>
        </w:tc>
        <w:tc>
          <w:tcPr>
            <w:tcW w:w="2268" w:type="dxa"/>
            <w:tcBorders>
              <w:top w:val="single" w:color="000000" w:sz="6" w:space="0"/>
              <w:left w:val="single" w:color="000000" w:sz="6" w:space="0"/>
              <w:right w:val="single" w:color="000000" w:sz="6" w:space="0"/>
            </w:tcBorders>
            <w:vAlign w:val="center"/>
          </w:tcPr>
          <w:p>
            <w:pPr>
              <w:pStyle w:val="15"/>
            </w:pPr>
            <w:r>
              <w:t>≤500万元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土地利用率提高</w:t>
            </w:r>
          </w:p>
        </w:tc>
        <w:tc>
          <w:tcPr>
            <w:tcW w:w="5386"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5386" w:type="dxa"/>
            <w:tcBorders>
              <w:top w:val="single" w:color="000000" w:sz="6" w:space="0"/>
              <w:left w:val="single" w:color="000000" w:sz="6" w:space="0"/>
              <w:right w:val="single" w:color="000000" w:sz="6" w:space="0"/>
            </w:tcBorders>
            <w:vAlign w:val="center"/>
          </w:tcPr>
          <w:p>
            <w:pPr>
              <w:pStyle w:val="15"/>
            </w:pPr>
            <w:r>
              <w:t>亩均新增产值</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亩均新增产值</w:t>
            </w:r>
          </w:p>
        </w:tc>
        <w:tc>
          <w:tcPr>
            <w:tcW w:w="5386" w:type="dxa"/>
            <w:tcBorders>
              <w:top w:val="single" w:color="000000" w:sz="6" w:space="0"/>
              <w:left w:val="single" w:color="000000" w:sz="6" w:space="0"/>
              <w:right w:val="single" w:color="000000" w:sz="6" w:space="0"/>
            </w:tcBorders>
            <w:vAlign w:val="center"/>
          </w:tcPr>
          <w:p>
            <w:pPr>
              <w:pStyle w:val="15"/>
            </w:pPr>
            <w:r>
              <w:t>耕地总数增加人均收益增加</w:t>
            </w:r>
          </w:p>
        </w:tc>
        <w:tc>
          <w:tcPr>
            <w:tcW w:w="2268" w:type="dxa"/>
            <w:tcBorders>
              <w:top w:val="single" w:color="000000" w:sz="6" w:space="0"/>
              <w:left w:val="single" w:color="000000" w:sz="6" w:space="0"/>
              <w:right w:val="single" w:color="000000" w:sz="6" w:space="0"/>
            </w:tcBorders>
            <w:vAlign w:val="center"/>
          </w:tcPr>
          <w:p>
            <w:pPr>
              <w:pStyle w:val="15"/>
            </w:pPr>
            <w:r>
              <w:t>≥10000元</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耕地总数增加</w:t>
            </w:r>
          </w:p>
        </w:tc>
        <w:tc>
          <w:tcPr>
            <w:tcW w:w="5386" w:type="dxa"/>
            <w:tcBorders>
              <w:top w:val="single" w:color="000000" w:sz="6" w:space="0"/>
              <w:left w:val="single" w:color="000000" w:sz="6" w:space="0"/>
              <w:right w:val="single" w:color="000000" w:sz="6" w:space="0"/>
            </w:tcBorders>
            <w:vAlign w:val="center"/>
          </w:tcPr>
          <w:p>
            <w:pPr>
              <w:pStyle w:val="15"/>
            </w:pPr>
            <w:r>
              <w:t>耕地总数增加</w:t>
            </w:r>
          </w:p>
        </w:tc>
        <w:tc>
          <w:tcPr>
            <w:tcW w:w="2268" w:type="dxa"/>
            <w:tcBorders>
              <w:top w:val="single" w:color="000000" w:sz="6" w:space="0"/>
              <w:left w:val="single" w:color="000000" w:sz="6" w:space="0"/>
              <w:right w:val="single" w:color="000000" w:sz="6" w:space="0"/>
            </w:tcBorders>
            <w:vAlign w:val="center"/>
          </w:tcPr>
          <w:p>
            <w:pPr>
              <w:pStyle w:val="15"/>
            </w:pPr>
            <w:r>
              <w:t>≥100亩</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通过实施项目，对实施后的效果满意度进行调查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18、耕地和永久基本农田划定成果核实处置工作经费绩效目标表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13032226P00212210235Y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耕地和永久基本农田划定成果核实处置工作经费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对“三区三县”划定成果中的耕地和永久基本农田核实，区分情形，分类处置。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1.对“三区三县”划定成果中的耕地和永久基本农田核实，区分情形，分类处置。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完成永久基本农田保护任务</w:t>
            </w:r>
          </w:p>
        </w:tc>
        <w:tc>
          <w:tcPr>
            <w:tcW w:w="5386" w:type="dxa"/>
            <w:tcBorders>
              <w:top w:val="single" w:color="000000" w:sz="6" w:space="0"/>
              <w:left w:val="single" w:color="000000" w:sz="6" w:space="0"/>
              <w:right w:val="single" w:color="000000" w:sz="6" w:space="0"/>
            </w:tcBorders>
            <w:vAlign w:val="center"/>
          </w:tcPr>
          <w:p>
            <w:pPr>
              <w:pStyle w:val="15"/>
            </w:pPr>
            <w:r>
              <w:t>昌黎县三区三线划定成果中永久基本农田保护任务</w:t>
            </w:r>
          </w:p>
        </w:tc>
        <w:tc>
          <w:tcPr>
            <w:tcW w:w="2268" w:type="dxa"/>
            <w:tcBorders>
              <w:top w:val="single" w:color="000000" w:sz="6" w:space="0"/>
              <w:left w:val="single" w:color="000000" w:sz="6" w:space="0"/>
              <w:right w:val="single" w:color="000000" w:sz="6" w:space="0"/>
            </w:tcBorders>
            <w:vAlign w:val="center"/>
          </w:tcPr>
          <w:p>
            <w:pPr>
              <w:pStyle w:val="15"/>
            </w:pPr>
            <w:r>
              <w:t>≥75.21万亩</w:t>
            </w:r>
          </w:p>
        </w:tc>
        <w:tc>
          <w:tcPr>
            <w:tcW w:w="1276" w:type="dxa"/>
            <w:vAlign w:val="center"/>
          </w:tcPr>
          <w:p>
            <w:pPr>
              <w:pStyle w:val="15"/>
            </w:pPr>
            <w:r>
              <w:t>保护面积高于任务面积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耕地和永久基本农田核实处置成果通过省级验收</w:t>
            </w:r>
          </w:p>
        </w:tc>
        <w:tc>
          <w:tcPr>
            <w:tcW w:w="5386" w:type="dxa"/>
            <w:tcBorders>
              <w:top w:val="single" w:color="000000" w:sz="6" w:space="0"/>
              <w:left w:val="single" w:color="000000" w:sz="6" w:space="0"/>
              <w:right w:val="single" w:color="000000" w:sz="6" w:space="0"/>
            </w:tcBorders>
            <w:vAlign w:val="center"/>
          </w:tcPr>
          <w:p>
            <w:pPr>
              <w:pStyle w:val="15"/>
            </w:pPr>
            <w:r>
              <w:t>核实处置成果数据库需以县级为单位汇交市级验收，验收通过后统一上报省级审查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按时完成耕地和永久基本农田核实处置成果的上报工作</w:t>
            </w:r>
          </w:p>
        </w:tc>
        <w:tc>
          <w:tcPr>
            <w:tcW w:w="5386" w:type="dxa"/>
            <w:tcBorders>
              <w:top w:val="single" w:color="000000" w:sz="6" w:space="0"/>
              <w:left w:val="single" w:color="000000" w:sz="6" w:space="0"/>
              <w:right w:val="single" w:color="000000" w:sz="6" w:space="0"/>
            </w:tcBorders>
            <w:vAlign w:val="center"/>
          </w:tcPr>
          <w:p>
            <w:pPr>
              <w:pStyle w:val="15"/>
            </w:pPr>
            <w:r>
              <w:t>按部级要求和省里工作安排，需按时提交成果。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按时完成成果上报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核实处置工作所花费用</w:t>
            </w:r>
          </w:p>
        </w:tc>
        <w:tc>
          <w:tcPr>
            <w:tcW w:w="5386" w:type="dxa"/>
            <w:tcBorders>
              <w:top w:val="single" w:color="000000" w:sz="6" w:space="0"/>
              <w:left w:val="single" w:color="000000" w:sz="6" w:space="0"/>
              <w:right w:val="single" w:color="000000" w:sz="6" w:space="0"/>
            </w:tcBorders>
            <w:vAlign w:val="center"/>
          </w:tcPr>
          <w:p>
            <w:pPr>
              <w:pStyle w:val="15"/>
            </w:pPr>
            <w:r>
              <w:t>数据库建设、外业核查、处置措施等所花费总和</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按实际工作量估算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增加农户收入</w:t>
            </w:r>
          </w:p>
        </w:tc>
        <w:tc>
          <w:tcPr>
            <w:tcW w:w="5386" w:type="dxa"/>
            <w:tcBorders>
              <w:top w:val="single" w:color="000000" w:sz="6" w:space="0"/>
              <w:left w:val="single" w:color="000000" w:sz="6" w:space="0"/>
              <w:right w:val="single" w:color="000000" w:sz="6" w:space="0"/>
            </w:tcBorders>
            <w:vAlign w:val="center"/>
          </w:tcPr>
          <w:p>
            <w:pPr>
              <w:pStyle w:val="15"/>
            </w:pPr>
            <w:r>
              <w:t>稳定优质耕地面积，提高农户收入</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项目可持续影响年限</w:t>
            </w:r>
          </w:p>
        </w:tc>
        <w:tc>
          <w:tcPr>
            <w:tcW w:w="5386" w:type="dxa"/>
            <w:tcBorders>
              <w:top w:val="single" w:color="000000" w:sz="6" w:space="0"/>
              <w:left w:val="single" w:color="000000" w:sz="6" w:space="0"/>
              <w:right w:val="single" w:color="000000" w:sz="6" w:space="0"/>
            </w:tcBorders>
            <w:vAlign w:val="center"/>
          </w:tcPr>
          <w:p>
            <w:pPr>
              <w:pStyle w:val="15"/>
            </w:pPr>
            <w:r>
              <w:t>项目可持续影响年限</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中期规划调整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被慰问人员满意度</w:t>
            </w:r>
          </w:p>
        </w:tc>
        <w:tc>
          <w:tcPr>
            <w:tcW w:w="5386" w:type="dxa"/>
            <w:tcBorders>
              <w:top w:val="single" w:color="000000" w:sz="6" w:space="0"/>
              <w:left w:val="single" w:color="000000" w:sz="6" w:space="0"/>
              <w:right w:val="single" w:color="000000" w:sz="6" w:space="0"/>
            </w:tcBorders>
            <w:vAlign w:val="center"/>
          </w:tcPr>
          <w:p>
            <w:pPr>
              <w:pStyle w:val="15"/>
            </w:pPr>
            <w:r>
              <w:t>被慰问人员满意度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19、购买公务用车绩效目标表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13032226P002122102228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购买公务用车2辆。满足机关业务保障，服务基层。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1.购买公务用车2辆。满足机关业务保障，服务基层。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购置数量</w:t>
            </w:r>
          </w:p>
        </w:tc>
        <w:tc>
          <w:tcPr>
            <w:tcW w:w="5386" w:type="dxa"/>
            <w:tcBorders>
              <w:top w:val="single" w:color="000000" w:sz="6" w:space="0"/>
              <w:left w:val="single" w:color="000000" w:sz="6" w:space="0"/>
              <w:right w:val="single" w:color="000000" w:sz="6" w:space="0"/>
            </w:tcBorders>
            <w:vAlign w:val="center"/>
          </w:tcPr>
          <w:p>
            <w:pPr>
              <w:pStyle w:val="15"/>
            </w:pPr>
            <w:r>
              <w:t>新增购置的数量</w:t>
            </w:r>
          </w:p>
        </w:tc>
        <w:tc>
          <w:tcPr>
            <w:tcW w:w="2268" w:type="dxa"/>
            <w:tcBorders>
              <w:top w:val="single" w:color="000000" w:sz="6" w:space="0"/>
              <w:left w:val="single" w:color="000000" w:sz="6" w:space="0"/>
              <w:right w:val="single" w:color="000000" w:sz="6" w:space="0"/>
            </w:tcBorders>
            <w:vAlign w:val="center"/>
          </w:tcPr>
          <w:p>
            <w:pPr>
              <w:pStyle w:val="15"/>
            </w:pPr>
            <w:r>
              <w:t>2辆</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购置质量合格率</w:t>
            </w:r>
          </w:p>
        </w:tc>
        <w:tc>
          <w:tcPr>
            <w:tcW w:w="5386" w:type="dxa"/>
            <w:tcBorders>
              <w:top w:val="single" w:color="000000" w:sz="6" w:space="0"/>
              <w:left w:val="single" w:color="000000" w:sz="6" w:space="0"/>
              <w:right w:val="single" w:color="000000" w:sz="6" w:space="0"/>
            </w:tcBorders>
            <w:vAlign w:val="center"/>
          </w:tcPr>
          <w:p>
            <w:pPr>
              <w:pStyle w:val="15"/>
            </w:pPr>
            <w:r>
              <w:t>购置质量合格的数量占购置总数量的比值</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购车时间</w:t>
            </w:r>
          </w:p>
        </w:tc>
        <w:tc>
          <w:tcPr>
            <w:tcW w:w="5386" w:type="dxa"/>
            <w:tcBorders>
              <w:top w:val="single" w:color="000000" w:sz="6" w:space="0"/>
              <w:left w:val="single" w:color="000000" w:sz="6" w:space="0"/>
              <w:right w:val="single" w:color="000000" w:sz="6" w:space="0"/>
            </w:tcBorders>
            <w:vAlign w:val="center"/>
          </w:tcPr>
          <w:p>
            <w:pPr>
              <w:pStyle w:val="15"/>
            </w:pPr>
            <w:r>
              <w:t>规定时间内完成购车计划</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单位购车成本</w:t>
            </w:r>
          </w:p>
        </w:tc>
        <w:tc>
          <w:tcPr>
            <w:tcW w:w="5386" w:type="dxa"/>
            <w:tcBorders>
              <w:top w:val="single" w:color="000000" w:sz="6" w:space="0"/>
              <w:left w:val="single" w:color="000000" w:sz="6" w:space="0"/>
              <w:right w:val="single" w:color="000000" w:sz="6" w:space="0"/>
            </w:tcBorders>
            <w:vAlign w:val="center"/>
          </w:tcPr>
          <w:p>
            <w:pPr>
              <w:pStyle w:val="15"/>
            </w:pPr>
            <w:r>
              <w:t>购置总成本</w:t>
            </w:r>
          </w:p>
        </w:tc>
        <w:tc>
          <w:tcPr>
            <w:tcW w:w="2268" w:type="dxa"/>
            <w:tcBorders>
              <w:top w:val="single" w:color="000000" w:sz="6" w:space="0"/>
              <w:left w:val="single" w:color="000000" w:sz="6" w:space="0"/>
              <w:right w:val="single" w:color="000000" w:sz="6" w:space="0"/>
            </w:tcBorders>
            <w:vAlign w:val="center"/>
          </w:tcPr>
          <w:p>
            <w:pPr>
              <w:pStyle w:val="15"/>
            </w:pPr>
            <w:r>
              <w:t>≤36万元</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带动本地汽车销售企业经济收入</w:t>
            </w:r>
          </w:p>
        </w:tc>
        <w:tc>
          <w:tcPr>
            <w:tcW w:w="5386" w:type="dxa"/>
            <w:tcBorders>
              <w:top w:val="single" w:color="000000" w:sz="6" w:space="0"/>
              <w:left w:val="single" w:color="000000" w:sz="6" w:space="0"/>
              <w:right w:val="single" w:color="000000" w:sz="6" w:space="0"/>
            </w:tcBorders>
            <w:vAlign w:val="center"/>
          </w:tcPr>
          <w:p>
            <w:pPr>
              <w:pStyle w:val="15"/>
            </w:pPr>
            <w:r>
              <w:t>使用财政资金购车，提高本地汽车销售企业收入</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为突发救急提供服务</w:t>
            </w:r>
          </w:p>
        </w:tc>
        <w:tc>
          <w:tcPr>
            <w:tcW w:w="5386" w:type="dxa"/>
            <w:tcBorders>
              <w:top w:val="single" w:color="000000" w:sz="6" w:space="0"/>
              <w:left w:val="single" w:color="000000" w:sz="6" w:space="0"/>
              <w:right w:val="single" w:color="000000" w:sz="6" w:space="0"/>
            </w:tcBorders>
            <w:vAlign w:val="center"/>
          </w:tcPr>
          <w:p>
            <w:pPr>
              <w:pStyle w:val="15"/>
            </w:pPr>
            <w:r>
              <w:t>满足救灾应急保障，服务基层次数增加</w:t>
            </w:r>
          </w:p>
        </w:tc>
        <w:tc>
          <w:tcPr>
            <w:tcW w:w="2268" w:type="dxa"/>
            <w:tcBorders>
              <w:top w:val="single" w:color="000000" w:sz="6" w:space="0"/>
              <w:left w:val="single" w:color="000000" w:sz="6" w:space="0"/>
              <w:right w:val="single" w:color="000000" w:sz="6" w:space="0"/>
            </w:tcBorders>
            <w:vAlign w:val="center"/>
          </w:tcPr>
          <w:p>
            <w:pPr>
              <w:pStyle w:val="15"/>
            </w:pPr>
            <w:r>
              <w:t>≥20次</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提高生态环境</w:t>
            </w:r>
          </w:p>
        </w:tc>
        <w:tc>
          <w:tcPr>
            <w:tcW w:w="5386" w:type="dxa"/>
            <w:tcBorders>
              <w:top w:val="single" w:color="000000" w:sz="6" w:space="0"/>
              <w:left w:val="single" w:color="000000" w:sz="6" w:space="0"/>
              <w:right w:val="single" w:color="000000" w:sz="6" w:space="0"/>
            </w:tcBorders>
            <w:vAlign w:val="center"/>
          </w:tcPr>
          <w:p>
            <w:pPr>
              <w:pStyle w:val="15"/>
            </w:pPr>
            <w:r>
              <w:t>购买新能源，保护生态环境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购置车辆的可使用年限</w:t>
            </w:r>
          </w:p>
        </w:tc>
        <w:tc>
          <w:tcPr>
            <w:tcW w:w="5386" w:type="dxa"/>
            <w:tcBorders>
              <w:top w:val="single" w:color="000000" w:sz="6" w:space="0"/>
              <w:left w:val="single" w:color="000000" w:sz="6" w:space="0"/>
              <w:right w:val="single" w:color="000000" w:sz="6" w:space="0"/>
            </w:tcBorders>
            <w:vAlign w:val="center"/>
          </w:tcPr>
          <w:p>
            <w:pPr>
              <w:pStyle w:val="15"/>
            </w:pPr>
            <w:r>
              <w:t>购买救灾应急用车辆的可使用年限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服务对象满意程度</w:t>
            </w:r>
          </w:p>
        </w:tc>
        <w:tc>
          <w:tcPr>
            <w:tcW w:w="5386" w:type="dxa"/>
            <w:tcBorders>
              <w:top w:val="single" w:color="000000" w:sz="6" w:space="0"/>
              <w:left w:val="single" w:color="000000" w:sz="6" w:space="0"/>
              <w:right w:val="single" w:color="000000" w:sz="6" w:space="0"/>
            </w:tcBorders>
            <w:vAlign w:val="center"/>
          </w:tcPr>
          <w:p>
            <w:pPr>
              <w:pStyle w:val="15"/>
            </w:pPr>
            <w:r>
              <w:t>调查对象的满意人数占全部调查结果的比率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20、黄金海岸城市设计、出让土地评估服务费绩效目标表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13032226P00212210229H</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黄金海岸城市设计、出让土地评估服务费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按照2026年度土地供应计划，积极做好土地供应，为我县经济社会发展提供土地资源保障。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1.按照2026年度土地供应计划，积极做好土地供应，为我县经济社会发展提供土地资源保障。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≤60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21、机关运行经费（非税安排）绩效目标表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13032226P00212210172A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机关运行经费（非税安排）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167.64</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167.64</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拨付日常经费，保证机关日常运转，保证各项业务顺利完成。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1.保证机关日常运转，保证各项业务顺利完成。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单位科室数量</w:t>
            </w:r>
          </w:p>
        </w:tc>
        <w:tc>
          <w:tcPr>
            <w:tcW w:w="5386" w:type="dxa"/>
            <w:tcBorders>
              <w:top w:val="single" w:color="000000" w:sz="6" w:space="0"/>
              <w:left w:val="single" w:color="000000" w:sz="6" w:space="0"/>
              <w:right w:val="single" w:color="000000" w:sz="6" w:space="0"/>
            </w:tcBorders>
            <w:vAlign w:val="center"/>
          </w:tcPr>
          <w:p>
            <w:pPr>
              <w:pStyle w:val="15"/>
            </w:pPr>
            <w:r>
              <w:t>经费保证单位各科室的数量</w:t>
            </w:r>
          </w:p>
        </w:tc>
        <w:tc>
          <w:tcPr>
            <w:tcW w:w="2268" w:type="dxa"/>
            <w:tcBorders>
              <w:top w:val="single" w:color="000000" w:sz="6" w:space="0"/>
              <w:left w:val="single" w:color="000000" w:sz="6" w:space="0"/>
              <w:right w:val="single" w:color="000000" w:sz="6" w:space="0"/>
            </w:tcBorders>
            <w:vAlign w:val="center"/>
          </w:tcPr>
          <w:p>
            <w:pPr>
              <w:pStyle w:val="15"/>
            </w:pPr>
            <w:r>
              <w:t>≥30个</w:t>
            </w:r>
          </w:p>
        </w:tc>
        <w:tc>
          <w:tcPr>
            <w:tcW w:w="1276" w:type="dxa"/>
            <w:vAlign w:val="center"/>
          </w:tcPr>
          <w:p>
            <w:pPr>
              <w:pStyle w:val="15"/>
            </w:pPr>
            <w:r>
              <w:t>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支出达到标准</w:t>
            </w:r>
          </w:p>
        </w:tc>
        <w:tc>
          <w:tcPr>
            <w:tcW w:w="5386" w:type="dxa"/>
            <w:tcBorders>
              <w:top w:val="single" w:color="000000" w:sz="6" w:space="0"/>
              <w:left w:val="single" w:color="000000" w:sz="6" w:space="0"/>
              <w:right w:val="single" w:color="000000" w:sz="6" w:space="0"/>
            </w:tcBorders>
            <w:vAlign w:val="center"/>
          </w:tcPr>
          <w:p>
            <w:pPr>
              <w:pStyle w:val="15"/>
            </w:pPr>
            <w:r>
              <w:t>达到支付标准金额/总金额*100%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经费金额</w:t>
            </w:r>
          </w:p>
        </w:tc>
        <w:tc>
          <w:tcPr>
            <w:tcW w:w="5386" w:type="dxa"/>
            <w:tcBorders>
              <w:top w:val="single" w:color="000000" w:sz="6" w:space="0"/>
              <w:left w:val="single" w:color="000000" w:sz="6" w:space="0"/>
              <w:right w:val="single" w:color="000000" w:sz="6" w:space="0"/>
            </w:tcBorders>
            <w:vAlign w:val="center"/>
          </w:tcPr>
          <w:p>
            <w:pPr>
              <w:pStyle w:val="15"/>
            </w:pPr>
            <w:r>
              <w:t>每年需要的运转经费</w:t>
            </w:r>
          </w:p>
        </w:tc>
        <w:tc>
          <w:tcPr>
            <w:tcW w:w="2268" w:type="dxa"/>
            <w:tcBorders>
              <w:top w:val="single" w:color="000000" w:sz="6" w:space="0"/>
              <w:left w:val="single" w:color="000000" w:sz="6" w:space="0"/>
              <w:right w:val="single" w:color="000000" w:sz="6" w:space="0"/>
            </w:tcBorders>
            <w:vAlign w:val="center"/>
          </w:tcPr>
          <w:p>
            <w:pPr>
              <w:pStyle w:val="15"/>
            </w:pPr>
            <w:r>
              <w:t>167.64万元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提供服务次数</w:t>
            </w:r>
          </w:p>
        </w:tc>
        <w:tc>
          <w:tcPr>
            <w:tcW w:w="5386" w:type="dxa"/>
            <w:tcBorders>
              <w:top w:val="single" w:color="000000" w:sz="6" w:space="0"/>
              <w:left w:val="single" w:color="000000" w:sz="6" w:space="0"/>
              <w:right w:val="single" w:color="000000" w:sz="6" w:space="0"/>
            </w:tcBorders>
            <w:vAlign w:val="center"/>
          </w:tcPr>
          <w:p>
            <w:pPr>
              <w:pStyle w:val="15"/>
            </w:pPr>
            <w:r>
              <w:t>为保障全县自然资源使用提供服务次数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职工满意度指标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22、冀财资环【2025】82号2025年出让土地评估费绩效目标表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13032225P00232510015N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冀财资环【2025】82号2025年出让土地评估费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45.57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45.57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按照2025年度土地供应计划，积极做好土地供应，为我县经济社会发展提供土地资源保障。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1.按照2025年度土地供应计划，积极做好土地供应，为我县经济社会发展提供土地资源保障。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≤45.57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23、冀财资环【2025】82号昌黎县原远博地块新增土地储备项目专项债券服务费绩效目标表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13032225P00232510008M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冀财资环【2025】82号昌黎县原远博地块新增土地储备项目专项债券服务费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18.08</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18.08</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完成债券申报工作，拨付服务费。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1.完成债券申报工作，拨付服务费。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建设内容</w:t>
            </w:r>
          </w:p>
        </w:tc>
        <w:tc>
          <w:tcPr>
            <w:tcW w:w="5386" w:type="dxa"/>
            <w:tcBorders>
              <w:top w:val="single" w:color="000000" w:sz="6" w:space="0"/>
              <w:left w:val="single" w:color="000000" w:sz="6" w:space="0"/>
              <w:right w:val="single" w:color="000000" w:sz="6" w:space="0"/>
            </w:tcBorders>
            <w:vAlign w:val="center"/>
          </w:tcPr>
          <w:p>
            <w:pPr>
              <w:pStyle w:val="15"/>
            </w:pPr>
            <w:r>
              <w:t>昌黎县原远博地块新增土地储备项目面积</w:t>
            </w:r>
          </w:p>
        </w:tc>
        <w:tc>
          <w:tcPr>
            <w:tcW w:w="2268" w:type="dxa"/>
            <w:tcBorders>
              <w:top w:val="single" w:color="000000" w:sz="6" w:space="0"/>
              <w:left w:val="single" w:color="000000" w:sz="6" w:space="0"/>
              <w:right w:val="single" w:color="000000" w:sz="6" w:space="0"/>
            </w:tcBorders>
            <w:vAlign w:val="center"/>
          </w:tcPr>
          <w:p>
            <w:pPr>
              <w:pStyle w:val="15"/>
            </w:pPr>
            <w:r>
              <w:t>30593.38平方米</w:t>
            </w:r>
          </w:p>
        </w:tc>
        <w:tc>
          <w:tcPr>
            <w:tcW w:w="1276" w:type="dxa"/>
            <w:vAlign w:val="center"/>
          </w:tcPr>
          <w:p>
            <w:pPr>
              <w:pStyle w:val="15"/>
            </w:pPr>
            <w:r>
              <w:t>土地收回文件、自然资源部财政部关于做好运用地方政府专项债券支持土地储备有关工作的通知（自然资发【2025】45号）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项目实施方案、财务评价报告、评估报告、法律意见书</w:t>
            </w:r>
          </w:p>
        </w:tc>
        <w:tc>
          <w:tcPr>
            <w:tcW w:w="5386" w:type="dxa"/>
            <w:tcBorders>
              <w:top w:val="single" w:color="000000" w:sz="6" w:space="0"/>
              <w:left w:val="single" w:color="000000" w:sz="6" w:space="0"/>
              <w:right w:val="single" w:color="000000" w:sz="6" w:space="0"/>
            </w:tcBorders>
            <w:vAlign w:val="center"/>
          </w:tcPr>
          <w:p>
            <w:pPr>
              <w:pStyle w:val="15"/>
            </w:pPr>
            <w:r>
              <w:t>报告准确度</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申请材料报送时限</w:t>
            </w:r>
          </w:p>
        </w:tc>
        <w:tc>
          <w:tcPr>
            <w:tcW w:w="5386" w:type="dxa"/>
            <w:tcBorders>
              <w:top w:val="single" w:color="000000" w:sz="6" w:space="0"/>
              <w:left w:val="single" w:color="000000" w:sz="6" w:space="0"/>
              <w:right w:val="single" w:color="000000" w:sz="6" w:space="0"/>
            </w:tcBorders>
            <w:vAlign w:val="center"/>
          </w:tcPr>
          <w:p>
            <w:pPr>
              <w:pStyle w:val="15"/>
            </w:pPr>
            <w:r>
              <w:t>准确及时上报</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总投资</w:t>
            </w:r>
          </w:p>
        </w:tc>
        <w:tc>
          <w:tcPr>
            <w:tcW w:w="5386" w:type="dxa"/>
            <w:tcBorders>
              <w:top w:val="single" w:color="000000" w:sz="6" w:space="0"/>
              <w:left w:val="single" w:color="000000" w:sz="6" w:space="0"/>
              <w:right w:val="single" w:color="000000" w:sz="6" w:space="0"/>
            </w:tcBorders>
            <w:vAlign w:val="center"/>
          </w:tcPr>
          <w:p>
            <w:pPr>
              <w:pStyle w:val="15"/>
            </w:pPr>
            <w:r>
              <w:t>比选采购金额</w:t>
            </w:r>
          </w:p>
        </w:tc>
        <w:tc>
          <w:tcPr>
            <w:tcW w:w="2268" w:type="dxa"/>
            <w:tcBorders>
              <w:top w:val="single" w:color="000000" w:sz="6" w:space="0"/>
              <w:left w:val="single" w:color="000000" w:sz="6" w:space="0"/>
              <w:right w:val="single" w:color="000000" w:sz="6" w:space="0"/>
            </w:tcBorders>
            <w:vAlign w:val="center"/>
          </w:tcPr>
          <w:p>
            <w:pPr>
              <w:pStyle w:val="15"/>
            </w:pPr>
            <w:r>
              <w:t>18.08万元</w:t>
            </w:r>
          </w:p>
        </w:tc>
        <w:tc>
          <w:tcPr>
            <w:tcW w:w="1276" w:type="dxa"/>
            <w:vAlign w:val="center"/>
          </w:tcPr>
          <w:p>
            <w:pPr>
              <w:pStyle w:val="15"/>
            </w:pPr>
            <w:r>
              <w:t>比选采购合同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项目经营收益</w:t>
            </w:r>
          </w:p>
        </w:tc>
        <w:tc>
          <w:tcPr>
            <w:tcW w:w="5386" w:type="dxa"/>
            <w:tcBorders>
              <w:top w:val="single" w:color="000000" w:sz="6" w:space="0"/>
              <w:left w:val="single" w:color="000000" w:sz="6" w:space="0"/>
              <w:right w:val="single" w:color="000000" w:sz="6" w:space="0"/>
            </w:tcBorders>
            <w:vAlign w:val="center"/>
          </w:tcPr>
          <w:p>
            <w:pPr>
              <w:pStyle w:val="15"/>
            </w:pPr>
            <w:r>
              <w:t>总收益</w:t>
            </w:r>
          </w:p>
        </w:tc>
        <w:tc>
          <w:tcPr>
            <w:tcW w:w="2268" w:type="dxa"/>
            <w:tcBorders>
              <w:top w:val="single" w:color="000000" w:sz="6" w:space="0"/>
              <w:left w:val="single" w:color="000000" w:sz="6" w:space="0"/>
              <w:right w:val="single" w:color="000000" w:sz="6" w:space="0"/>
            </w:tcBorders>
            <w:vAlign w:val="center"/>
          </w:tcPr>
          <w:p>
            <w:pPr>
              <w:pStyle w:val="15"/>
            </w:pPr>
            <w:r>
              <w:t>≥11748.97万元</w:t>
            </w:r>
          </w:p>
        </w:tc>
        <w:tc>
          <w:tcPr>
            <w:tcW w:w="1276" w:type="dxa"/>
            <w:vAlign w:val="center"/>
          </w:tcPr>
          <w:p>
            <w:pPr>
              <w:pStyle w:val="15"/>
            </w:pPr>
            <w:r>
              <w:t>债券申报材料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改善居住环境</w:t>
            </w:r>
          </w:p>
        </w:tc>
        <w:tc>
          <w:tcPr>
            <w:tcW w:w="5386" w:type="dxa"/>
            <w:tcBorders>
              <w:top w:val="single" w:color="000000" w:sz="6" w:space="0"/>
              <w:left w:val="single" w:color="000000" w:sz="6" w:space="0"/>
              <w:right w:val="single" w:color="000000" w:sz="6" w:space="0"/>
            </w:tcBorders>
            <w:vAlign w:val="center"/>
          </w:tcPr>
          <w:p>
            <w:pPr>
              <w:pStyle w:val="15"/>
            </w:pPr>
            <w:r>
              <w:t>提高周围居民居住环境</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项目持续发挥作用的期限</w:t>
            </w:r>
          </w:p>
        </w:tc>
        <w:tc>
          <w:tcPr>
            <w:tcW w:w="5386" w:type="dxa"/>
            <w:tcBorders>
              <w:top w:val="single" w:color="000000" w:sz="6" w:space="0"/>
              <w:left w:val="single" w:color="000000" w:sz="6" w:space="0"/>
              <w:right w:val="single" w:color="000000" w:sz="6" w:space="0"/>
            </w:tcBorders>
            <w:vAlign w:val="center"/>
          </w:tcPr>
          <w:p>
            <w:pPr>
              <w:pStyle w:val="15"/>
            </w:pPr>
            <w:r>
              <w:t>可持续年限</w:t>
            </w:r>
          </w:p>
        </w:tc>
        <w:tc>
          <w:tcPr>
            <w:tcW w:w="2268" w:type="dxa"/>
            <w:tcBorders>
              <w:top w:val="single" w:color="000000" w:sz="6" w:space="0"/>
              <w:left w:val="single" w:color="000000" w:sz="6" w:space="0"/>
              <w:right w:val="single" w:color="000000" w:sz="6" w:space="0"/>
            </w:tcBorders>
            <w:vAlign w:val="center"/>
          </w:tcPr>
          <w:p>
            <w:pPr>
              <w:pStyle w:val="15"/>
            </w:pPr>
            <w:r>
              <w:t>≥2年</w:t>
            </w:r>
          </w:p>
        </w:tc>
        <w:tc>
          <w:tcPr>
            <w:tcW w:w="1276" w:type="dxa"/>
            <w:vAlign w:val="center"/>
          </w:tcPr>
          <w:p>
            <w:pPr>
              <w:pStyle w:val="15"/>
            </w:pPr>
            <w:r>
              <w:t>报告期限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24、冀财资环【2025】82号城镇建设用地基准地价更新绩效目标表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13032225P002325100099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冀财资环【2025】82号城镇建设用地基准地价更新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27.00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27.00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编制城镇建设用地基准地价，支付服务费。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1.编制城镇建设用地基准地价，支付服务费。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成果份数</w:t>
            </w:r>
          </w:p>
        </w:tc>
        <w:tc>
          <w:tcPr>
            <w:tcW w:w="5386" w:type="dxa"/>
            <w:tcBorders>
              <w:top w:val="single" w:color="000000" w:sz="6" w:space="0"/>
              <w:left w:val="single" w:color="000000" w:sz="6" w:space="0"/>
              <w:right w:val="single" w:color="000000" w:sz="6" w:space="0"/>
            </w:tcBorders>
            <w:vAlign w:val="center"/>
          </w:tcPr>
          <w:p>
            <w:pPr>
              <w:pStyle w:val="15"/>
            </w:pPr>
            <w:r>
              <w:t>基准地价更新报告份数</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符合技术标准</w:t>
            </w:r>
          </w:p>
        </w:tc>
        <w:tc>
          <w:tcPr>
            <w:tcW w:w="5386" w:type="dxa"/>
            <w:tcBorders>
              <w:top w:val="single" w:color="000000" w:sz="6" w:space="0"/>
              <w:left w:val="single" w:color="000000" w:sz="6" w:space="0"/>
              <w:right w:val="single" w:color="000000" w:sz="6" w:space="0"/>
            </w:tcBorders>
            <w:vAlign w:val="center"/>
          </w:tcPr>
          <w:p>
            <w:pPr>
              <w:pStyle w:val="15"/>
            </w:pPr>
            <w:r>
              <w:t>成果验收通过率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在规定时间内完成</w:t>
            </w:r>
          </w:p>
        </w:tc>
        <w:tc>
          <w:tcPr>
            <w:tcW w:w="5386" w:type="dxa"/>
            <w:tcBorders>
              <w:top w:val="single" w:color="000000" w:sz="6" w:space="0"/>
              <w:left w:val="single" w:color="000000" w:sz="6" w:space="0"/>
              <w:right w:val="single" w:color="000000" w:sz="6" w:space="0"/>
            </w:tcBorders>
            <w:vAlign w:val="center"/>
          </w:tcPr>
          <w:p>
            <w:pPr>
              <w:pStyle w:val="15"/>
            </w:pPr>
            <w:r>
              <w:t>按照合同约定时间内</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报告编制成本</w:t>
            </w:r>
          </w:p>
        </w:tc>
        <w:tc>
          <w:tcPr>
            <w:tcW w:w="5386" w:type="dxa"/>
            <w:tcBorders>
              <w:top w:val="single" w:color="000000" w:sz="6" w:space="0"/>
              <w:left w:val="single" w:color="000000" w:sz="6" w:space="0"/>
              <w:right w:val="single" w:color="000000" w:sz="6" w:space="0"/>
            </w:tcBorders>
            <w:vAlign w:val="center"/>
          </w:tcPr>
          <w:p>
            <w:pPr>
              <w:pStyle w:val="15"/>
            </w:pPr>
            <w:r>
              <w:t>本次预算金额</w:t>
            </w:r>
          </w:p>
        </w:tc>
        <w:tc>
          <w:tcPr>
            <w:tcW w:w="2268" w:type="dxa"/>
            <w:tcBorders>
              <w:top w:val="single" w:color="000000" w:sz="6" w:space="0"/>
              <w:left w:val="single" w:color="000000" w:sz="6" w:space="0"/>
              <w:right w:val="single" w:color="000000" w:sz="6" w:space="0"/>
            </w:tcBorders>
            <w:vAlign w:val="center"/>
          </w:tcPr>
          <w:p>
            <w:pPr>
              <w:pStyle w:val="15"/>
            </w:pPr>
            <w:r>
              <w:t>≤27万元</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为企业用地提供服务</w:t>
            </w:r>
          </w:p>
        </w:tc>
        <w:tc>
          <w:tcPr>
            <w:tcW w:w="5386" w:type="dxa"/>
            <w:tcBorders>
              <w:top w:val="single" w:color="000000" w:sz="6" w:space="0"/>
              <w:left w:val="single" w:color="000000" w:sz="6" w:space="0"/>
              <w:right w:val="single" w:color="000000" w:sz="6" w:space="0"/>
            </w:tcBorders>
            <w:vAlign w:val="center"/>
          </w:tcPr>
          <w:p>
            <w:pPr>
              <w:pStyle w:val="15"/>
            </w:pPr>
            <w:r>
              <w:t>增加服务次数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成果可持续利用</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≥3年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25、冀财资环【2025】82号国土空间总体规划动态维护绩效目标表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13032225P002325100118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冀财资环【2025】82号国土空间总体规划动态维护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25.85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25.85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为全县经济社会发展提供规划支撑，开展国土空间总体规划动态维护工作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1.切实推进我县"十五五"规划开篇布局，保障重点项目加快落地，为全县经济社会发展提供规划支撑，开展国土空间总体规划动态维护工作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按要求完成规划动态维护方案、并制作完成规划成果数据</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规划动态维护方案通过审查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≤25.85万元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对生态保护红线正向优化，保证任务不减少，功能有提升，布局更完善</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结合“十五五”规划，持续更新重点项目清单</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提供规划保障，保证近期重点项目落地实施，增加收入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优化城镇空间结构和布局，提升人居环境</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群众满意度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26、冀财资环【2025】82号开发区用地数据专项整治服务费绩效目标表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13032225P00232510010L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冀财资环【2025】82号开发区用地数据专项整治服务费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对省厅下发的问题进行整治，支付服务费。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1.对省厅下发的问题进行整治，支付服务费。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整治问题个数</w:t>
            </w:r>
          </w:p>
        </w:tc>
        <w:tc>
          <w:tcPr>
            <w:tcW w:w="5386" w:type="dxa"/>
            <w:tcBorders>
              <w:top w:val="single" w:color="000000" w:sz="6" w:space="0"/>
              <w:left w:val="single" w:color="000000" w:sz="6" w:space="0"/>
              <w:right w:val="single" w:color="000000" w:sz="6" w:space="0"/>
            </w:tcBorders>
            <w:vAlign w:val="center"/>
          </w:tcPr>
          <w:p>
            <w:pPr>
              <w:pStyle w:val="15"/>
            </w:pPr>
            <w:r>
              <w:t>按照清单整治数量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省厅关于开展开发区用地数据专项治理的通知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整改完成</w:t>
            </w:r>
          </w:p>
        </w:tc>
        <w:tc>
          <w:tcPr>
            <w:tcW w:w="5386" w:type="dxa"/>
            <w:tcBorders>
              <w:top w:val="single" w:color="000000" w:sz="6" w:space="0"/>
              <w:left w:val="single" w:color="000000" w:sz="6" w:space="0"/>
              <w:right w:val="single" w:color="000000" w:sz="6" w:space="0"/>
            </w:tcBorders>
            <w:vAlign w:val="center"/>
          </w:tcPr>
          <w:p>
            <w:pPr>
              <w:pStyle w:val="15"/>
            </w:pPr>
            <w:r>
              <w:t>通过省厅验收</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w:t>
            </w:r>
          </w:p>
        </w:tc>
        <w:tc>
          <w:tcPr>
            <w:tcW w:w="5386" w:type="dxa"/>
            <w:tcBorders>
              <w:top w:val="single" w:color="000000" w:sz="6" w:space="0"/>
              <w:left w:val="single" w:color="000000" w:sz="6" w:space="0"/>
              <w:right w:val="single" w:color="000000" w:sz="6" w:space="0"/>
            </w:tcBorders>
            <w:vAlign w:val="center"/>
          </w:tcPr>
          <w:p>
            <w:pPr>
              <w:pStyle w:val="15"/>
            </w:pPr>
            <w:r>
              <w:t>按照通知在规定时间内整治</w:t>
            </w:r>
          </w:p>
        </w:tc>
        <w:tc>
          <w:tcPr>
            <w:tcW w:w="2268" w:type="dxa"/>
            <w:tcBorders>
              <w:top w:val="single" w:color="000000" w:sz="6" w:space="0"/>
              <w:left w:val="single" w:color="000000" w:sz="6" w:space="0"/>
              <w:right w:val="single" w:color="000000" w:sz="6" w:space="0"/>
            </w:tcBorders>
            <w:vAlign w:val="center"/>
          </w:tcPr>
          <w:p>
            <w:pPr>
              <w:pStyle w:val="15"/>
            </w:pPr>
            <w:r>
              <w:t>≤60天</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本次服务费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为供地提高服务</w:t>
            </w:r>
          </w:p>
        </w:tc>
        <w:tc>
          <w:tcPr>
            <w:tcW w:w="5386" w:type="dxa"/>
            <w:tcBorders>
              <w:top w:val="single" w:color="000000" w:sz="6" w:space="0"/>
              <w:left w:val="single" w:color="000000" w:sz="6" w:space="0"/>
              <w:right w:val="single" w:color="000000" w:sz="6" w:space="0"/>
            </w:tcBorders>
            <w:vAlign w:val="center"/>
          </w:tcPr>
          <w:p>
            <w:pPr>
              <w:pStyle w:val="15"/>
            </w:pPr>
            <w:r>
              <w:t>增加提供服务次数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数据成果可持续年限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5386"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27、冀财资环【2025】82号农村承包经营权数据共享成果入库绩效目标表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13032225P00232510012U</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冀财资环【2025】82号农村承包经营权数据共享成果入库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农村承包经营权数据成果共享，并纳入不动产数据库统一确权登记。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1.农村承包经营权数据成果共享，并纳入不动产数据库统一确权登记。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乡镇数量</w:t>
            </w:r>
          </w:p>
        </w:tc>
        <w:tc>
          <w:tcPr>
            <w:tcW w:w="5386" w:type="dxa"/>
            <w:tcBorders>
              <w:top w:val="single" w:color="000000" w:sz="6" w:space="0"/>
              <w:left w:val="single" w:color="000000" w:sz="6" w:space="0"/>
              <w:right w:val="single" w:color="000000" w:sz="6" w:space="0"/>
            </w:tcBorders>
            <w:vAlign w:val="center"/>
          </w:tcPr>
          <w:p>
            <w:pPr>
              <w:pStyle w:val="15"/>
            </w:pPr>
            <w:r>
              <w:t>走访乡镇数量</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农村土地承包条例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合格率</w:t>
            </w:r>
          </w:p>
        </w:tc>
        <w:tc>
          <w:tcPr>
            <w:tcW w:w="5386" w:type="dxa"/>
            <w:tcBorders>
              <w:top w:val="single" w:color="000000" w:sz="6" w:space="0"/>
              <w:left w:val="single" w:color="000000" w:sz="6" w:space="0"/>
              <w:right w:val="single" w:color="000000" w:sz="6" w:space="0"/>
            </w:tcBorders>
            <w:vAlign w:val="center"/>
          </w:tcPr>
          <w:p>
            <w:pPr>
              <w:pStyle w:val="15"/>
            </w:pPr>
            <w:r>
              <w:t>调查成果质量合格率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成果按时完成</w:t>
            </w:r>
          </w:p>
        </w:tc>
        <w:tc>
          <w:tcPr>
            <w:tcW w:w="5386" w:type="dxa"/>
            <w:tcBorders>
              <w:top w:val="single" w:color="000000" w:sz="6" w:space="0"/>
              <w:left w:val="single" w:color="000000" w:sz="6" w:space="0"/>
              <w:right w:val="single" w:color="000000" w:sz="6" w:space="0"/>
            </w:tcBorders>
            <w:vAlign w:val="center"/>
          </w:tcPr>
          <w:p>
            <w:pPr>
              <w:pStyle w:val="15"/>
            </w:pPr>
            <w:r>
              <w:t>调查成果按时完成率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调查经费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≤7.5万元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成果用于生态保护项目次数</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可持续利用年限</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成果应用范围</w:t>
            </w:r>
          </w:p>
        </w:tc>
        <w:tc>
          <w:tcPr>
            <w:tcW w:w="5386" w:type="dxa"/>
            <w:tcBorders>
              <w:top w:val="single" w:color="000000" w:sz="6" w:space="0"/>
              <w:left w:val="single" w:color="000000" w:sz="6" w:space="0"/>
              <w:right w:val="single" w:color="000000" w:sz="6" w:space="0"/>
            </w:tcBorders>
            <w:vAlign w:val="center"/>
          </w:tcPr>
          <w:p>
            <w:pPr>
              <w:pStyle w:val="15"/>
            </w:pPr>
            <w:r>
              <w:t>应用范围增加，节省开支成本</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查清土地资源</w:t>
            </w:r>
          </w:p>
        </w:tc>
        <w:tc>
          <w:tcPr>
            <w:tcW w:w="5386" w:type="dxa"/>
            <w:tcBorders>
              <w:top w:val="single" w:color="000000" w:sz="6" w:space="0"/>
              <w:left w:val="single" w:color="000000" w:sz="6" w:space="0"/>
              <w:right w:val="single" w:color="000000" w:sz="6" w:space="0"/>
            </w:tcBorders>
            <w:vAlign w:val="center"/>
          </w:tcPr>
          <w:p>
            <w:pPr>
              <w:pStyle w:val="15"/>
            </w:pPr>
            <w:r>
              <w:t>掌握准确数据，强化信息化服务次数</w:t>
            </w:r>
          </w:p>
        </w:tc>
        <w:tc>
          <w:tcPr>
            <w:tcW w:w="2268" w:type="dxa"/>
            <w:tcBorders>
              <w:top w:val="single" w:color="000000" w:sz="6" w:space="0"/>
              <w:left w:val="single" w:color="000000" w:sz="6" w:space="0"/>
              <w:right w:val="single" w:color="000000" w:sz="6" w:space="0"/>
            </w:tcBorders>
            <w:vAlign w:val="center"/>
          </w:tcPr>
          <w:p>
            <w:pPr>
              <w:pStyle w:val="15"/>
            </w:pPr>
            <w:r>
              <w:t>≥100次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群体满意度</w:t>
            </w:r>
          </w:p>
        </w:tc>
        <w:tc>
          <w:tcPr>
            <w:tcW w:w="5386" w:type="dxa"/>
            <w:tcBorders>
              <w:top w:val="single" w:color="000000" w:sz="6" w:space="0"/>
              <w:left w:val="single" w:color="000000" w:sz="6" w:space="0"/>
              <w:right w:val="single" w:color="000000" w:sz="6" w:space="0"/>
            </w:tcBorders>
            <w:vAlign w:val="center"/>
          </w:tcPr>
          <w:p>
            <w:pPr>
              <w:pStyle w:val="15"/>
            </w:pPr>
            <w:r>
              <w:t>群体满意度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28、劳务派遣人员支出绩效目标表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13032226P00233310093Q</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179.17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179.17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按时发放编外人员的工资发放及保险缴纳。</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1.按时发放编外人员的工资发放及保险缴纳。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工资发放金额</w:t>
            </w:r>
          </w:p>
        </w:tc>
        <w:tc>
          <w:tcPr>
            <w:tcW w:w="5386" w:type="dxa"/>
            <w:tcBorders>
              <w:top w:val="single" w:color="000000" w:sz="6" w:space="0"/>
              <w:left w:val="single" w:color="000000" w:sz="6" w:space="0"/>
              <w:right w:val="single" w:color="000000" w:sz="6" w:space="0"/>
            </w:tcBorders>
            <w:vAlign w:val="center"/>
          </w:tcPr>
          <w:p>
            <w:pPr>
              <w:pStyle w:val="15"/>
            </w:pPr>
            <w:r>
              <w:t>工资的年平均补助标准</w:t>
            </w:r>
          </w:p>
        </w:tc>
        <w:tc>
          <w:tcPr>
            <w:tcW w:w="2268" w:type="dxa"/>
            <w:tcBorders>
              <w:top w:val="single" w:color="000000" w:sz="6" w:space="0"/>
              <w:left w:val="single" w:color="000000" w:sz="6" w:space="0"/>
              <w:right w:val="single" w:color="000000" w:sz="6" w:space="0"/>
            </w:tcBorders>
            <w:vAlign w:val="center"/>
          </w:tcPr>
          <w:p>
            <w:pPr>
              <w:pStyle w:val="15"/>
            </w:pPr>
            <w:r>
              <w:t>4.72万元</w:t>
            </w:r>
          </w:p>
        </w:tc>
        <w:tc>
          <w:tcPr>
            <w:tcW w:w="1276" w:type="dxa"/>
            <w:vAlign w:val="center"/>
          </w:tcPr>
          <w:p>
            <w:pPr>
              <w:pStyle w:val="15"/>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人员经费发放及时率</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人员经费到位率</w:t>
            </w:r>
          </w:p>
        </w:tc>
        <w:tc>
          <w:tcPr>
            <w:tcW w:w="5386" w:type="dxa"/>
            <w:tcBorders>
              <w:top w:val="single" w:color="000000" w:sz="6" w:space="0"/>
              <w:left w:val="single" w:color="000000" w:sz="6" w:space="0"/>
              <w:right w:val="single" w:color="000000" w:sz="6" w:space="0"/>
            </w:tcBorders>
            <w:vAlign w:val="center"/>
          </w:tcPr>
          <w:p>
            <w:pPr>
              <w:pStyle w:val="15"/>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发放人数</w:t>
            </w:r>
          </w:p>
        </w:tc>
        <w:tc>
          <w:tcPr>
            <w:tcW w:w="5386" w:type="dxa"/>
            <w:tcBorders>
              <w:top w:val="single" w:color="000000" w:sz="6" w:space="0"/>
              <w:left w:val="single" w:color="000000" w:sz="6" w:space="0"/>
              <w:right w:val="single" w:color="000000" w:sz="6" w:space="0"/>
            </w:tcBorders>
            <w:vAlign w:val="center"/>
          </w:tcPr>
          <w:p>
            <w:pPr>
              <w:pStyle w:val="15"/>
            </w:pPr>
            <w:r>
              <w:t>单位发放工资的人数</w:t>
            </w:r>
          </w:p>
        </w:tc>
        <w:tc>
          <w:tcPr>
            <w:tcW w:w="2268" w:type="dxa"/>
            <w:tcBorders>
              <w:top w:val="single" w:color="000000" w:sz="6" w:space="0"/>
              <w:left w:val="single" w:color="000000" w:sz="6" w:space="0"/>
              <w:right w:val="single" w:color="000000" w:sz="6" w:space="0"/>
            </w:tcBorders>
            <w:vAlign w:val="center"/>
          </w:tcPr>
          <w:p>
            <w:pPr>
              <w:pStyle w:val="15"/>
            </w:pPr>
            <w:r>
              <w:t>≥35人</w:t>
            </w:r>
          </w:p>
        </w:tc>
        <w:tc>
          <w:tcPr>
            <w:tcW w:w="1276" w:type="dxa"/>
            <w:vAlign w:val="center"/>
          </w:tcPr>
          <w:p>
            <w:pPr>
              <w:pStyle w:val="15"/>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5"/>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w:t>
            </w:r>
          </w:p>
        </w:tc>
        <w:tc>
          <w:tcPr>
            <w:tcW w:w="5386" w:type="dxa"/>
            <w:tcBorders>
              <w:top w:val="single" w:color="000000" w:sz="6" w:space="0"/>
              <w:left w:val="single" w:color="000000" w:sz="6" w:space="0"/>
              <w:right w:val="single" w:color="000000" w:sz="6" w:space="0"/>
            </w:tcBorders>
            <w:vAlign w:val="center"/>
          </w:tcPr>
          <w:p>
            <w:pPr>
              <w:pStyle w:val="15"/>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29、林权登记存量数据整合汇交绩效目标表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13032226P00212210228X</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林权登记存量数据整合汇交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全面查清我县当前林地存量储量，核实我县现有林业资源实际变化程度，为以后林地登记打好工作基础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1.全面查清我县当前林地存量储量，核实我县现有林业资源实际变化程度，为以后林地登记打好工作基础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调查林地存量信息个数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在全县范围内实地调查林地储量的分布及利用个数</w:t>
            </w:r>
          </w:p>
        </w:tc>
        <w:tc>
          <w:tcPr>
            <w:tcW w:w="2268" w:type="dxa"/>
            <w:tcBorders>
              <w:top w:val="single" w:color="000000" w:sz="6" w:space="0"/>
              <w:left w:val="single" w:color="000000" w:sz="6" w:space="0"/>
              <w:right w:val="single" w:color="000000" w:sz="6" w:space="0"/>
            </w:tcBorders>
            <w:vAlign w:val="center"/>
          </w:tcPr>
          <w:p>
            <w:pPr>
              <w:pStyle w:val="15"/>
            </w:pPr>
            <w:r>
              <w:t>≥1903宗</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已完成服务的成本</w:t>
            </w:r>
          </w:p>
        </w:tc>
        <w:tc>
          <w:tcPr>
            <w:tcW w:w="2268" w:type="dxa"/>
            <w:tcBorders>
              <w:top w:val="single" w:color="000000" w:sz="6" w:space="0"/>
              <w:left w:val="single" w:color="000000" w:sz="6" w:space="0"/>
              <w:right w:val="single" w:color="000000" w:sz="6" w:space="0"/>
            </w:tcBorders>
            <w:vAlign w:val="center"/>
          </w:tcPr>
          <w:p>
            <w:pPr>
              <w:pStyle w:val="15"/>
            </w:pPr>
            <w:r>
              <w:t>≤5.5万元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自然资源登记信息统一管理、实时共享，实现与不动产登记信息、国土调查、专项调查信息实时关联，带动地方经济收入。</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30、全民所有自然资源清查入库绩效目标表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13032226P00212210226N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全民所有自然资源清查入库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18.60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18.60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为全面摸清我县全民所有自然资源资产家底，夯实自然资源资产管理基础。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1.为全面摸清我县全民所有自然资源资产家底，夯实自然资源资产管理基础。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调查自然资源信息个数</w:t>
            </w:r>
          </w:p>
        </w:tc>
        <w:tc>
          <w:tcPr>
            <w:tcW w:w="5386" w:type="dxa"/>
            <w:tcBorders>
              <w:top w:val="single" w:color="000000" w:sz="6" w:space="0"/>
              <w:left w:val="single" w:color="000000" w:sz="6" w:space="0"/>
              <w:right w:val="single" w:color="000000" w:sz="6" w:space="0"/>
            </w:tcBorders>
            <w:vAlign w:val="center"/>
          </w:tcPr>
          <w:p>
            <w:pPr>
              <w:pStyle w:val="15"/>
            </w:pPr>
            <w:r>
              <w:t>整体谋划全民所有土地、矿产、森林、草原、湿地、海洋等6类自然资源资产清查</w:t>
            </w:r>
          </w:p>
        </w:tc>
        <w:tc>
          <w:tcPr>
            <w:tcW w:w="2268" w:type="dxa"/>
            <w:tcBorders>
              <w:top w:val="single" w:color="000000" w:sz="6" w:space="0"/>
              <w:left w:val="single" w:color="000000" w:sz="6" w:space="0"/>
              <w:right w:val="single" w:color="000000" w:sz="6" w:space="0"/>
            </w:tcBorders>
            <w:vAlign w:val="center"/>
          </w:tcPr>
          <w:p>
            <w:pPr>
              <w:pStyle w:val="15"/>
            </w:pPr>
            <w:r>
              <w:t>≤6个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≤18.6万元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土地各项指标是否可持续利用年限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w:t>
            </w:r>
          </w:p>
        </w:tc>
        <w:tc>
          <w:tcPr>
            <w:tcW w:w="2268" w:type="dxa"/>
            <w:tcBorders>
              <w:top w:val="single" w:color="000000" w:sz="6" w:space="0"/>
              <w:left w:val="single" w:color="000000" w:sz="6" w:space="0"/>
              <w:right w:val="single" w:color="000000" w:sz="6" w:space="0"/>
            </w:tcBorders>
            <w:vAlign w:val="center"/>
          </w:tcPr>
          <w:p>
            <w:pPr>
              <w:pStyle w:val="15"/>
            </w:pPr>
            <w:r>
              <w:t>≥6处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31、土地变更调查绩效目标表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13032226P00212210224F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以2026年12月31日为时间节点，全面查清我县当前土地利用现状，建立土地利用数据库，全面应用于土地管理工作中。</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1.以2026年12月31日为时间节点，全面查清我县当前土地利用现状，建立土地利用数据库，全面应用于土地管理工作中。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调查乡镇数量</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在全县范围内实地调查土地的地类、面积和权属（权属确认到村民小组）</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全县乡镇个数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土地变更调查成果质量合格率</w:t>
            </w:r>
          </w:p>
        </w:tc>
        <w:tc>
          <w:tcPr>
            <w:tcW w:w="5386" w:type="dxa"/>
            <w:tcBorders>
              <w:top w:val="single" w:color="000000" w:sz="6" w:space="0"/>
              <w:left w:val="single" w:color="000000" w:sz="6" w:space="0"/>
              <w:right w:val="single" w:color="000000" w:sz="6" w:space="0"/>
            </w:tcBorders>
            <w:vAlign w:val="center"/>
          </w:tcPr>
          <w:p>
            <w:pPr>
              <w:pStyle w:val="15"/>
            </w:pPr>
            <w:r>
              <w:t>2026年土地变更调查图斑/全部调查图斑</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土地变更调查成果按时完成率</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调查经费成本</w:t>
            </w:r>
          </w:p>
        </w:tc>
        <w:tc>
          <w:tcPr>
            <w:tcW w:w="2268" w:type="dxa"/>
            <w:tcBorders>
              <w:top w:val="single" w:color="000000" w:sz="6" w:space="0"/>
              <w:left w:val="single" w:color="000000" w:sz="6" w:space="0"/>
              <w:right w:val="single" w:color="000000" w:sz="6" w:space="0"/>
            </w:tcBorders>
            <w:vAlign w:val="center"/>
          </w:tcPr>
          <w:p>
            <w:pPr>
              <w:pStyle w:val="15"/>
            </w:pPr>
            <w:r>
              <w:t>≤90万元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调查成果用于生态保护项目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调查成果用于生态保护工作次数</w:t>
            </w:r>
          </w:p>
        </w:tc>
        <w:tc>
          <w:tcPr>
            <w:tcW w:w="2268" w:type="dxa"/>
            <w:tcBorders>
              <w:top w:val="single" w:color="000000" w:sz="6" w:space="0"/>
              <w:left w:val="single" w:color="000000" w:sz="6" w:space="0"/>
              <w:right w:val="single" w:color="000000" w:sz="6" w:space="0"/>
            </w:tcBorders>
            <w:vAlign w:val="center"/>
          </w:tcPr>
          <w:p>
            <w:pPr>
              <w:pStyle w:val="15"/>
            </w:pPr>
            <w:r>
              <w:t>≥1次</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土地可持续利用</w:t>
            </w:r>
          </w:p>
        </w:tc>
        <w:tc>
          <w:tcPr>
            <w:tcW w:w="5386" w:type="dxa"/>
            <w:tcBorders>
              <w:top w:val="single" w:color="000000" w:sz="6" w:space="0"/>
              <w:left w:val="single" w:color="000000" w:sz="6" w:space="0"/>
              <w:right w:val="single" w:color="000000" w:sz="6" w:space="0"/>
            </w:tcBorders>
            <w:vAlign w:val="center"/>
          </w:tcPr>
          <w:p>
            <w:pPr>
              <w:pStyle w:val="15"/>
            </w:pPr>
            <w:r>
              <w:t>土地更新调查及利用可持续性</w:t>
            </w:r>
          </w:p>
        </w:tc>
        <w:tc>
          <w:tcPr>
            <w:tcW w:w="2268" w:type="dxa"/>
            <w:tcBorders>
              <w:top w:val="single" w:color="000000" w:sz="6" w:space="0"/>
              <w:left w:val="single" w:color="000000" w:sz="6" w:space="0"/>
              <w:right w:val="single" w:color="000000" w:sz="6" w:space="0"/>
            </w:tcBorders>
            <w:vAlign w:val="center"/>
          </w:tcPr>
          <w:p>
            <w:pPr>
              <w:pStyle w:val="15"/>
            </w:pPr>
            <w:r>
              <w:t>可持续</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应用应用于规划编制、执法监察</w:t>
            </w:r>
          </w:p>
        </w:tc>
        <w:tc>
          <w:tcPr>
            <w:tcW w:w="5386" w:type="dxa"/>
            <w:tcBorders>
              <w:top w:val="single" w:color="000000" w:sz="6" w:space="0"/>
              <w:left w:val="single" w:color="000000" w:sz="6" w:space="0"/>
              <w:right w:val="single" w:color="000000" w:sz="6" w:space="0"/>
            </w:tcBorders>
            <w:vAlign w:val="center"/>
          </w:tcPr>
          <w:p>
            <w:pPr>
              <w:pStyle w:val="15"/>
            </w:pPr>
            <w:r>
              <w:t>节省开支数量</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掌握真实准确的土地基础数据，健全土地调查、监测和统计制度，强化土地资源信息社会化服务次数</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对调查成果的满意度</w:t>
            </w:r>
          </w:p>
        </w:tc>
        <w:tc>
          <w:tcPr>
            <w:tcW w:w="5386" w:type="dxa"/>
            <w:tcBorders>
              <w:top w:val="single" w:color="000000" w:sz="6" w:space="0"/>
              <w:left w:val="single" w:color="000000" w:sz="6" w:space="0"/>
              <w:right w:val="single" w:color="000000" w:sz="6" w:space="0"/>
            </w:tcBorders>
            <w:vAlign w:val="center"/>
          </w:tcPr>
          <w:p>
            <w:pPr>
              <w:pStyle w:val="15"/>
            </w:pPr>
            <w:r>
              <w:t>相关单位对作业单位调查成果使用满意次数/权属使用次数的比率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32、土地征收成本（耕地占用税）绩效目标表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13032226P002293100721</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征收农民集体土地，涉及占用农用地需支付耕地占用税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1.征收农民集体土地，涉及占用农用地需支付耕地占用税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耕地占用税拨付的项数</w:t>
            </w:r>
          </w:p>
        </w:tc>
        <w:tc>
          <w:tcPr>
            <w:tcW w:w="5386" w:type="dxa"/>
            <w:tcBorders>
              <w:top w:val="single" w:color="000000" w:sz="6" w:space="0"/>
              <w:left w:val="single" w:color="000000" w:sz="6" w:space="0"/>
              <w:right w:val="single" w:color="000000" w:sz="6" w:space="0"/>
            </w:tcBorders>
            <w:vAlign w:val="center"/>
          </w:tcPr>
          <w:p>
            <w:pPr>
              <w:pStyle w:val="15"/>
            </w:pPr>
            <w:r>
              <w:t>完成耕地占用税项目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实际拨付耕地占用税/应拨付耕地占用税*100%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耕地占用税完成时间情况</w:t>
            </w:r>
          </w:p>
        </w:tc>
        <w:tc>
          <w:tcPr>
            <w:tcW w:w="5386" w:type="dxa"/>
            <w:tcBorders>
              <w:top w:val="single" w:color="000000" w:sz="6" w:space="0"/>
              <w:left w:val="single" w:color="000000" w:sz="6" w:space="0"/>
              <w:right w:val="single" w:color="000000" w:sz="6" w:space="0"/>
            </w:tcBorders>
            <w:vAlign w:val="center"/>
          </w:tcPr>
          <w:p>
            <w:pPr>
              <w:pStyle w:val="15"/>
            </w:pPr>
            <w:r>
              <w:t>按时完成缴纳占用税</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拨付成本</w:t>
            </w:r>
          </w:p>
        </w:tc>
        <w:tc>
          <w:tcPr>
            <w:tcW w:w="5386" w:type="dxa"/>
            <w:tcBorders>
              <w:top w:val="single" w:color="000000" w:sz="6" w:space="0"/>
              <w:left w:val="single" w:color="000000" w:sz="6" w:space="0"/>
              <w:right w:val="single" w:color="000000" w:sz="6" w:space="0"/>
            </w:tcBorders>
            <w:vAlign w:val="center"/>
          </w:tcPr>
          <w:p>
            <w:pPr>
              <w:pStyle w:val="15"/>
            </w:pPr>
            <w:r>
              <w:t>本年实际费用</w:t>
            </w:r>
          </w:p>
        </w:tc>
        <w:tc>
          <w:tcPr>
            <w:tcW w:w="2268" w:type="dxa"/>
            <w:tcBorders>
              <w:top w:val="single" w:color="000000" w:sz="6" w:space="0"/>
              <w:left w:val="single" w:color="000000" w:sz="6" w:space="0"/>
              <w:right w:val="single" w:color="000000" w:sz="6" w:space="0"/>
            </w:tcBorders>
            <w:vAlign w:val="center"/>
          </w:tcPr>
          <w:p>
            <w:pPr>
              <w:pStyle w:val="15"/>
            </w:pPr>
            <w:r>
              <w:t>≤3000万元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通过征地补偿保障被征地农户生活可持续性年限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新增建设用地土地供应带来财政收入</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33、土地征收成本（社保费和风险基金）绩效目标表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13032226P00229310071D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土地征收成本（社保费和风险基金）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拨付被征地农民社会保障费，切实维护被征地村集体及农户合法权益，保障被征地后其生活不降低。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1.拨付被征地农民社会保障费，切实维护被征地村集体及农户合法权益，保障被征地后其生活不降低。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社会保障费拨付成本达标率</w:t>
            </w:r>
          </w:p>
        </w:tc>
        <w:tc>
          <w:tcPr>
            <w:tcW w:w="5386" w:type="dxa"/>
            <w:tcBorders>
              <w:top w:val="single" w:color="000000" w:sz="6" w:space="0"/>
              <w:left w:val="single" w:color="000000" w:sz="6" w:space="0"/>
              <w:right w:val="single" w:color="000000" w:sz="6" w:space="0"/>
            </w:tcBorders>
            <w:vAlign w:val="center"/>
          </w:tcPr>
          <w:p>
            <w:pPr>
              <w:pStyle w:val="15"/>
            </w:pPr>
            <w:r>
              <w:t>实际拨付社会保障费/应拨付社会保障费*100%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社会保障费完成时间情况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社会保障费拨付足额率</w:t>
            </w:r>
          </w:p>
        </w:tc>
        <w:tc>
          <w:tcPr>
            <w:tcW w:w="5386" w:type="dxa"/>
            <w:tcBorders>
              <w:top w:val="single" w:color="000000" w:sz="6" w:space="0"/>
              <w:left w:val="single" w:color="000000" w:sz="6" w:space="0"/>
              <w:right w:val="single" w:color="000000" w:sz="6" w:space="0"/>
            </w:tcBorders>
            <w:vAlign w:val="center"/>
          </w:tcPr>
          <w:p>
            <w:pPr>
              <w:pStyle w:val="15"/>
            </w:pPr>
            <w:r>
              <w:t>拨付社会保障费发生的相关费用</w:t>
            </w:r>
          </w:p>
        </w:tc>
        <w:tc>
          <w:tcPr>
            <w:tcW w:w="2268" w:type="dxa"/>
            <w:tcBorders>
              <w:top w:val="single" w:color="000000" w:sz="6" w:space="0"/>
              <w:left w:val="single" w:color="000000" w:sz="6" w:space="0"/>
              <w:right w:val="single" w:color="000000" w:sz="6" w:space="0"/>
            </w:tcBorders>
            <w:vAlign w:val="center"/>
          </w:tcPr>
          <w:p>
            <w:pPr>
              <w:pStyle w:val="15"/>
            </w:pPr>
            <w:r>
              <w:t>≤8000万元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34、征地费绩效目标表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13032226P00229310070R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征地费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征收集体土地，为县域经济发展提供用地保障。</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1.征收集体土地，为县域经济发展提供用地保障。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≥90项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实际拨付费用/应拨付费用*100%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征地费拨付完成时间情况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征地费拨付成本</w:t>
            </w:r>
          </w:p>
        </w:tc>
        <w:tc>
          <w:tcPr>
            <w:tcW w:w="5386" w:type="dxa"/>
            <w:tcBorders>
              <w:top w:val="single" w:color="000000" w:sz="6" w:space="0"/>
              <w:left w:val="single" w:color="000000" w:sz="6" w:space="0"/>
              <w:right w:val="single" w:color="000000" w:sz="6" w:space="0"/>
            </w:tcBorders>
            <w:vAlign w:val="center"/>
          </w:tcPr>
          <w:p>
            <w:pPr>
              <w:pStyle w:val="15"/>
            </w:pPr>
            <w:r>
              <w:t>实际发生拨付费用</w:t>
            </w:r>
          </w:p>
        </w:tc>
        <w:tc>
          <w:tcPr>
            <w:tcW w:w="2268" w:type="dxa"/>
            <w:tcBorders>
              <w:top w:val="single" w:color="000000" w:sz="6" w:space="0"/>
              <w:left w:val="single" w:color="000000" w:sz="6" w:space="0"/>
              <w:right w:val="single" w:color="000000" w:sz="6" w:space="0"/>
            </w:tcBorders>
            <w:vAlign w:val="center"/>
          </w:tcPr>
          <w:p>
            <w:pPr>
              <w:pStyle w:val="15"/>
            </w:pPr>
            <w:r>
              <w:t>≤15000万元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被征地农户生活有保障</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保证新增建设用地面积</w:t>
            </w:r>
          </w:p>
        </w:tc>
        <w:tc>
          <w:tcPr>
            <w:tcW w:w="5386" w:type="dxa"/>
            <w:tcBorders>
              <w:top w:val="single" w:color="000000" w:sz="6" w:space="0"/>
              <w:left w:val="single" w:color="000000" w:sz="6" w:space="0"/>
              <w:right w:val="single" w:color="000000" w:sz="6" w:space="0"/>
            </w:tcBorders>
            <w:vAlign w:val="center"/>
          </w:tcPr>
          <w:p>
            <w:pPr>
              <w:pStyle w:val="15"/>
            </w:pPr>
            <w:r>
              <w:t>通过土地征收，增加新增建设用地供应</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35、土地收储成本绩效目标表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13032226P00229310073L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土地收储成本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按照县政府收储计划和工作安排开展土地收储</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1.按照县政府收储计划和工作安排开展土地收储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收储土地面积</w:t>
            </w:r>
          </w:p>
        </w:tc>
        <w:tc>
          <w:tcPr>
            <w:tcW w:w="5386" w:type="dxa"/>
            <w:tcBorders>
              <w:top w:val="single" w:color="000000" w:sz="6" w:space="0"/>
              <w:left w:val="single" w:color="000000" w:sz="6" w:space="0"/>
              <w:right w:val="single" w:color="000000" w:sz="6" w:space="0"/>
            </w:tcBorders>
            <w:vAlign w:val="center"/>
          </w:tcPr>
          <w:p>
            <w:pPr>
              <w:pStyle w:val="15"/>
            </w:pPr>
            <w:r>
              <w:t>根据土地收储计划和县政府工作安排，对符合条件的土地进行收储。</w:t>
            </w:r>
          </w:p>
        </w:tc>
        <w:tc>
          <w:tcPr>
            <w:tcW w:w="2268" w:type="dxa"/>
            <w:tcBorders>
              <w:top w:val="single" w:color="000000" w:sz="6" w:space="0"/>
              <w:left w:val="single" w:color="000000" w:sz="6" w:space="0"/>
              <w:right w:val="single" w:color="000000" w:sz="6" w:space="0"/>
            </w:tcBorders>
            <w:vAlign w:val="center"/>
          </w:tcPr>
          <w:p>
            <w:pPr>
              <w:pStyle w:val="15"/>
            </w:pPr>
            <w:r>
              <w:t>&gt;8亩</w:t>
            </w:r>
          </w:p>
        </w:tc>
        <w:tc>
          <w:tcPr>
            <w:tcW w:w="1276" w:type="dxa"/>
            <w:vAlign w:val="center"/>
          </w:tcPr>
          <w:p>
            <w:pPr>
              <w:pStyle w:val="15"/>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w:t>
            </w:r>
          </w:p>
        </w:tc>
        <w:tc>
          <w:tcPr>
            <w:tcW w:w="5386" w:type="dxa"/>
            <w:tcBorders>
              <w:top w:val="single" w:color="000000" w:sz="6" w:space="0"/>
              <w:left w:val="single" w:color="000000" w:sz="6" w:space="0"/>
              <w:right w:val="single" w:color="000000" w:sz="6" w:space="0"/>
            </w:tcBorders>
            <w:vAlign w:val="center"/>
          </w:tcPr>
          <w:p>
            <w:pPr>
              <w:pStyle w:val="15"/>
            </w:pPr>
            <w:r>
              <w:t>达到收储条件比例</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款项拨付及时率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收储成本</w:t>
            </w:r>
          </w:p>
        </w:tc>
        <w:tc>
          <w:tcPr>
            <w:tcW w:w="5386" w:type="dxa"/>
            <w:tcBorders>
              <w:top w:val="single" w:color="000000" w:sz="6" w:space="0"/>
              <w:left w:val="single" w:color="000000" w:sz="6" w:space="0"/>
              <w:right w:val="single" w:color="000000" w:sz="6" w:space="0"/>
            </w:tcBorders>
            <w:vAlign w:val="center"/>
          </w:tcPr>
          <w:p>
            <w:pPr>
              <w:pStyle w:val="15"/>
            </w:pPr>
            <w:r>
              <w:t>本年度收储成本</w:t>
            </w:r>
          </w:p>
        </w:tc>
        <w:tc>
          <w:tcPr>
            <w:tcW w:w="2268" w:type="dxa"/>
            <w:tcBorders>
              <w:top w:val="single" w:color="000000" w:sz="6" w:space="0"/>
              <w:left w:val="single" w:color="000000" w:sz="6" w:space="0"/>
              <w:right w:val="single" w:color="000000" w:sz="6" w:space="0"/>
            </w:tcBorders>
            <w:vAlign w:val="center"/>
          </w:tcPr>
          <w:p>
            <w:pPr>
              <w:pStyle w:val="15"/>
            </w:pPr>
            <w:r>
              <w:t>≤1500万元</w:t>
            </w:r>
          </w:p>
        </w:tc>
        <w:tc>
          <w:tcPr>
            <w:tcW w:w="1276" w:type="dxa"/>
            <w:vAlign w:val="center"/>
          </w:tcPr>
          <w:p>
            <w:pPr>
              <w:pStyle w:val="15"/>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签订土地收储合同</w:t>
            </w:r>
          </w:p>
        </w:tc>
        <w:tc>
          <w:tcPr>
            <w:tcW w:w="5386" w:type="dxa"/>
            <w:tcBorders>
              <w:top w:val="single" w:color="000000" w:sz="6" w:space="0"/>
              <w:left w:val="single" w:color="000000" w:sz="6" w:space="0"/>
              <w:right w:val="single" w:color="000000" w:sz="6" w:space="0"/>
            </w:tcBorders>
            <w:vAlign w:val="center"/>
          </w:tcPr>
          <w:p>
            <w:pPr>
              <w:pStyle w:val="15"/>
            </w:pPr>
            <w:r>
              <w:t>有效期限</w:t>
            </w:r>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完成土地拍卖的土地出让收入</w:t>
            </w:r>
          </w:p>
        </w:tc>
        <w:tc>
          <w:tcPr>
            <w:tcW w:w="2268" w:type="dxa"/>
            <w:tcBorders>
              <w:top w:val="single" w:color="000000" w:sz="6" w:space="0"/>
              <w:left w:val="single" w:color="000000" w:sz="6" w:space="0"/>
              <w:right w:val="single" w:color="000000" w:sz="6" w:space="0"/>
            </w:tcBorders>
            <w:vAlign w:val="center"/>
          </w:tcPr>
          <w:p>
            <w:pPr>
              <w:pStyle w:val="15"/>
            </w:pPr>
            <w:r>
              <w:t>&gt;500万</w:t>
            </w:r>
          </w:p>
        </w:tc>
        <w:tc>
          <w:tcPr>
            <w:tcW w:w="1276" w:type="dxa"/>
            <w:vAlign w:val="center"/>
          </w:tcPr>
          <w:p>
            <w:pPr>
              <w:pStyle w:val="15"/>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增加政府土地储备</w:t>
            </w:r>
          </w:p>
        </w:tc>
        <w:tc>
          <w:tcPr>
            <w:tcW w:w="5386" w:type="dxa"/>
            <w:tcBorders>
              <w:top w:val="single" w:color="000000" w:sz="6" w:space="0"/>
              <w:left w:val="single" w:color="000000" w:sz="6" w:space="0"/>
              <w:right w:val="single" w:color="000000" w:sz="6" w:space="0"/>
            </w:tcBorders>
            <w:vAlign w:val="center"/>
          </w:tcPr>
          <w:p>
            <w:pPr>
              <w:pStyle w:val="15"/>
            </w:pPr>
            <w:r>
              <w:t>保证土地供应市场</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324昌黎县自然资源和规划局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合  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昌黎县自然资源和规划局本级小计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非农建设补充耕地项目</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购买公务用车</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1134" w:type="dxa"/>
            <w:tcBorders>
              <w:top w:val="single" w:color="000000" w:sz="6" w:space="0"/>
              <w:left w:val="single" w:color="000000" w:sz="6" w:space="0"/>
              <w:right w:val="single" w:color="000000" w:sz="6" w:space="0"/>
            </w:tcBorders>
            <w:vAlign w:val="center"/>
          </w:tcPr>
          <w:p>
            <w:pPr>
              <w:pStyle w:val="15"/>
            </w:pPr>
            <w:r>
              <w:t>其他乘用车</w:t>
            </w:r>
          </w:p>
        </w:tc>
        <w:tc>
          <w:tcPr>
            <w:tcW w:w="1134" w:type="dxa"/>
            <w:tcBorders>
              <w:top w:val="single" w:color="000000" w:sz="6" w:space="0"/>
              <w:left w:val="single" w:color="000000" w:sz="6" w:space="0"/>
              <w:right w:val="single" w:color="000000" w:sz="6" w:space="0"/>
            </w:tcBorders>
            <w:vAlign w:val="center"/>
          </w:tcPr>
          <w:p>
            <w:pPr>
              <w:pStyle w:val="15"/>
            </w:pPr>
            <w:r>
              <w:t>A02030599</w:t>
            </w:r>
          </w:p>
        </w:tc>
        <w:tc>
          <w:tcPr>
            <w:tcW w:w="709" w:type="dxa"/>
            <w:tcBorders>
              <w:top w:val="single" w:color="000000" w:sz="6" w:space="0"/>
              <w:left w:val="single" w:color="000000" w:sz="6" w:space="0"/>
              <w:right w:val="single" w:color="000000" w:sz="6" w:space="0"/>
            </w:tcBorders>
            <w:vAlign w:val="center"/>
          </w:tcPr>
          <w:p>
            <w:pPr>
              <w:pStyle w:val="16"/>
            </w:pPr>
            <w:r>
              <w:t>辆</w:t>
            </w:r>
          </w:p>
        </w:tc>
        <w:tc>
          <w:tcPr>
            <w:tcW w:w="850" w:type="dxa"/>
            <w:tcBorders>
              <w:top w:val="single" w:color="000000" w:sz="6" w:space="0"/>
              <w:left w:val="single" w:color="000000" w:sz="6" w:space="0"/>
              <w:right w:val="single" w:color="000000" w:sz="6" w:space="0"/>
            </w:tcBorders>
            <w:vAlign w:val="center"/>
          </w:tcPr>
          <w:p>
            <w:pPr>
              <w:pStyle w:val="14"/>
            </w:pPr>
            <w:r>
              <w:t>2</w:t>
            </w:r>
          </w:p>
        </w:tc>
        <w:tc>
          <w:tcPr>
            <w:tcW w:w="850" w:type="dxa"/>
            <w:tcBorders>
              <w:top w:val="single" w:color="000000" w:sz="6" w:space="0"/>
              <w:left w:val="single" w:color="000000" w:sz="6" w:space="0"/>
              <w:right w:val="single" w:color="000000" w:sz="6" w:space="0"/>
            </w:tcBorders>
            <w:vAlign w:val="center"/>
          </w:tcPr>
          <w:p>
            <w:pPr>
              <w:pStyle w:val="14"/>
            </w:pPr>
            <w:r>
              <w:t>18.00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黄金海岸城市设计、出让土地评估服务费</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土地变更调查</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昌黎县自然资源和规划局（含所属单位）上年末固定资产金额为2919.26万元（详见下表）。本年度拟购置固定资产总额为40.00万元，已按要求列入政府采购预算，详见政府采购预算表。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324昌黎县自然资源和规划局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2919.26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12515.94</w:t>
            </w:r>
          </w:p>
        </w:tc>
        <w:tc>
          <w:tcPr>
            <w:tcW w:w="2835" w:type="dxa"/>
            <w:vAlign w:val="center"/>
          </w:tcPr>
          <w:p>
            <w:pPr>
              <w:pStyle w:val="14"/>
            </w:pPr>
            <w:r>
              <w:t>1065.79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6980.71</w:t>
            </w:r>
          </w:p>
        </w:tc>
        <w:tc>
          <w:tcPr>
            <w:tcW w:w="2835" w:type="dxa"/>
            <w:vAlign w:val="center"/>
          </w:tcPr>
          <w:p>
            <w:pPr>
              <w:pStyle w:val="14"/>
            </w:pPr>
            <w:r>
              <w:t>1065.79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16</w:t>
            </w:r>
          </w:p>
        </w:tc>
        <w:tc>
          <w:tcPr>
            <w:tcW w:w="2835" w:type="dxa"/>
            <w:vAlign w:val="center"/>
          </w:tcPr>
          <w:p>
            <w:pPr>
              <w:pStyle w:val="14"/>
            </w:pPr>
            <w:r>
              <w:t>216.35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15</w:t>
            </w:r>
          </w:p>
        </w:tc>
        <w:tc>
          <w:tcPr>
            <w:tcW w:w="2835" w:type="dxa"/>
            <w:vAlign w:val="center"/>
          </w:tcPr>
          <w:p>
            <w:pPr>
              <w:pStyle w:val="14"/>
            </w:pPr>
            <w:r>
              <w:t>1140.59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864</w:t>
            </w:r>
          </w:p>
        </w:tc>
        <w:tc>
          <w:tcPr>
            <w:tcW w:w="2835" w:type="dxa"/>
            <w:vAlign w:val="center"/>
          </w:tcPr>
          <w:p>
            <w:pPr>
              <w:pStyle w:val="14"/>
            </w:pPr>
            <w:r>
              <w:t>496.53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C2A1829"/>
    <w:rsid w:val="28DF71C2"/>
    <w:rsid w:val="345D6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0"/>
    <w:rPr>
      <w:rFonts w:ascii="Times New Roman" w:hAnsi="Times New Roman" w:eastAsia="宋体" w:cs="Arial"/>
      <w:b/>
      <w:bCs/>
      <w:kern w:val="44"/>
      <w:sz w:val="44"/>
      <w:szCs w:val="44"/>
      <w:lang w:val="en-US" w:eastAsia="uk-UA" w:bidi="ar-SA"/>
    </w:rPr>
  </w:style>
  <w:style w:type="character" w:customStyle="1" w:styleId="8">
    <w:name w:val="heading 2 Char"/>
    <w:basedOn w:val="6"/>
    <w:link w:val="3"/>
    <w:qFormat/>
    <w:uiPriority w:val="0"/>
    <w:rPr>
      <w:rFonts w:ascii="Times New Roman" w:hAnsi="Times New Roman" w:eastAsia="黑体" w:cs="Arial"/>
      <w:b/>
      <w:bCs/>
      <w:sz w:val="32"/>
      <w:szCs w:val="32"/>
      <w:lang w:val="en-US" w:eastAsia="uk-UA" w:bidi="ar-SA"/>
    </w:rPr>
  </w:style>
  <w:style w:type="character" w:customStyle="1" w:styleId="9">
    <w:name w:val="heading 3 Char"/>
    <w:basedOn w:val="6"/>
    <w:link w:val="4"/>
    <w:qFormat/>
    <w:uiPriority w:val="0"/>
    <w:rPr>
      <w:rFonts w:ascii="Times New Roman" w:hAnsi="Times New Roman" w:eastAsia="宋体" w:cs="Arial"/>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28E00-788D-4CFD-B0CC-BFAC71695013}">
  <ds:schemaRefs/>
</ds:datastoreItem>
</file>

<file path=docProps/app.xml><?xml version="1.0" encoding="utf-8"?>
<Properties xmlns="http://schemas.openxmlformats.org/officeDocument/2006/extended-properties" xmlns:vt="http://schemas.openxmlformats.org/officeDocument/2006/docPropsVTypes">
  <Template>Normal.eit</Template>
  <Pages>99</Pages>
  <Words>0</Words>
  <Characters>33308</Characters>
  <Lines>0</Lines>
  <Paragraphs>372</Paragraphs>
  <TotalTime>3</TotalTime>
  <ScaleCrop>false</ScaleCrop>
  <LinksUpToDate>false</LinksUpToDate>
  <CharactersWithSpaces>44411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2026-02-09T02:26:03Z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8E67FCCD2CCA41B0907533EB3A941CB8</vt:lpwstr>
  </property>
</Properties>
</file>