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241昌黎县档案馆</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83.73</w:t>
            </w:r>
          </w:p>
        </w:tc>
        <w:tc>
          <w:tcPr>
            <w:tcW w:w="4535" w:type="dxa"/>
            <w:vAlign w:val="center"/>
          </w:tcPr>
          <w:p>
            <w:pPr>
              <w:pStyle w:val="13"/>
            </w:pPr>
            <w:r>
              <w:t>一、一般公共服务支出</w:t>
            </w:r>
          </w:p>
        </w:tc>
        <w:tc>
          <w:tcPr>
            <w:tcW w:w="2126" w:type="dxa"/>
            <w:vAlign w:val="center"/>
          </w:tcPr>
          <w:p>
            <w:pPr>
              <w:pStyle w:val="12"/>
            </w:pPr>
            <w:r>
              <w:t>70.36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83.73</w:t>
            </w:r>
          </w:p>
        </w:tc>
        <w:tc>
          <w:tcPr>
            <w:tcW w:w="4535" w:type="dxa"/>
            <w:vAlign w:val="center"/>
          </w:tcPr>
          <w:p>
            <w:pPr>
              <w:pStyle w:val="15"/>
            </w:pPr>
            <w:r>
              <w:t>本年支出合计</w:t>
            </w:r>
          </w:p>
        </w:tc>
        <w:tc>
          <w:tcPr>
            <w:tcW w:w="2126" w:type="dxa"/>
            <w:vAlign w:val="center"/>
          </w:tcPr>
          <w:p>
            <w:pPr>
              <w:pStyle w:val="16"/>
            </w:pPr>
            <w:r>
              <w:t>83.73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83.73</w:t>
            </w:r>
          </w:p>
        </w:tc>
        <w:tc>
          <w:tcPr>
            <w:tcW w:w="4535" w:type="dxa"/>
            <w:vAlign w:val="center"/>
          </w:tcPr>
          <w:p>
            <w:pPr>
              <w:pStyle w:val="15"/>
            </w:pPr>
            <w:r>
              <w:t>支出总计</w:t>
            </w:r>
          </w:p>
        </w:tc>
        <w:tc>
          <w:tcPr>
            <w:tcW w:w="2126" w:type="dxa"/>
            <w:vAlign w:val="center"/>
          </w:tcPr>
          <w:p>
            <w:pPr>
              <w:pStyle w:val="16"/>
            </w:pPr>
            <w:r>
              <w:t>83.73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241昌黎县档案馆</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83.73</w:t>
            </w:r>
          </w:p>
        </w:tc>
        <w:tc>
          <w:tcPr>
            <w:tcW w:w="1134" w:type="dxa"/>
            <w:vAlign w:val="center"/>
          </w:tcPr>
          <w:p>
            <w:pPr>
              <w:pStyle w:val="16"/>
            </w:pPr>
            <w:r>
              <w:t>83.73</w:t>
            </w:r>
          </w:p>
        </w:tc>
        <w:tc>
          <w:tcPr>
            <w:tcW w:w="1134" w:type="dxa"/>
            <w:vAlign w:val="center"/>
          </w:tcPr>
          <w:p>
            <w:pPr>
              <w:pStyle w:val="16"/>
            </w:pPr>
            <w:r>
              <w:t>83.73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70.36</w:t>
            </w:r>
          </w:p>
        </w:tc>
        <w:tc>
          <w:tcPr>
            <w:tcW w:w="1134" w:type="dxa"/>
            <w:vAlign w:val="center"/>
          </w:tcPr>
          <w:p>
            <w:pPr>
              <w:pStyle w:val="12"/>
            </w:pPr>
            <w:r>
              <w:t>70.36</w:t>
            </w:r>
          </w:p>
        </w:tc>
        <w:tc>
          <w:tcPr>
            <w:tcW w:w="1134" w:type="dxa"/>
            <w:vAlign w:val="center"/>
          </w:tcPr>
          <w:p>
            <w:pPr>
              <w:pStyle w:val="12"/>
            </w:pPr>
            <w:r>
              <w:t>70.36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r>
              <w:t>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20126</w:t>
            </w:r>
          </w:p>
        </w:tc>
        <w:tc>
          <w:tcPr>
            <w:tcW w:w="1559" w:type="dxa"/>
            <w:vAlign w:val="center"/>
          </w:tcPr>
          <w:p>
            <w:pPr>
              <w:pStyle w:val="13"/>
            </w:pPr>
            <w:r>
              <w:t>档案事务</w:t>
            </w:r>
          </w:p>
        </w:tc>
        <w:tc>
          <w:tcPr>
            <w:tcW w:w="1134" w:type="dxa"/>
            <w:vAlign w:val="center"/>
          </w:tcPr>
          <w:p>
            <w:pPr>
              <w:pStyle w:val="12"/>
            </w:pPr>
            <w:r>
              <w:t>66.28</w:t>
            </w:r>
          </w:p>
        </w:tc>
        <w:tc>
          <w:tcPr>
            <w:tcW w:w="1134" w:type="dxa"/>
            <w:vAlign w:val="center"/>
          </w:tcPr>
          <w:p>
            <w:pPr>
              <w:pStyle w:val="12"/>
            </w:pPr>
            <w:r>
              <w:t>66.28</w:t>
            </w:r>
          </w:p>
        </w:tc>
        <w:tc>
          <w:tcPr>
            <w:tcW w:w="1134" w:type="dxa"/>
            <w:vAlign w:val="center"/>
          </w:tcPr>
          <w:p>
            <w:pPr>
              <w:pStyle w:val="12"/>
            </w:pPr>
            <w:r>
              <w:t>66.28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2012699</w:t>
            </w:r>
          </w:p>
        </w:tc>
        <w:tc>
          <w:tcPr>
            <w:tcW w:w="1559" w:type="dxa"/>
            <w:vAlign w:val="center"/>
          </w:tcPr>
          <w:p>
            <w:pPr>
              <w:pStyle w:val="13"/>
            </w:pPr>
            <w:r>
              <w:t>其他档案事务支出</w:t>
            </w:r>
          </w:p>
        </w:tc>
        <w:tc>
          <w:tcPr>
            <w:tcW w:w="1134" w:type="dxa"/>
            <w:vAlign w:val="center"/>
          </w:tcPr>
          <w:p>
            <w:pPr>
              <w:pStyle w:val="12"/>
            </w:pPr>
            <w:r>
              <w:t>66.28</w:t>
            </w:r>
          </w:p>
        </w:tc>
        <w:tc>
          <w:tcPr>
            <w:tcW w:w="1134" w:type="dxa"/>
            <w:vAlign w:val="center"/>
          </w:tcPr>
          <w:p>
            <w:pPr>
              <w:pStyle w:val="12"/>
            </w:pPr>
            <w:r>
              <w:t>66.28</w:t>
            </w:r>
          </w:p>
        </w:tc>
        <w:tc>
          <w:tcPr>
            <w:tcW w:w="1134" w:type="dxa"/>
            <w:vAlign w:val="center"/>
          </w:tcPr>
          <w:p>
            <w:pPr>
              <w:pStyle w:val="12"/>
            </w:pPr>
            <w:r>
              <w:t>66.28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r>
              <w:t>6.67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r>
              <w:t>3.37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3.11</w:t>
            </w:r>
          </w:p>
        </w:tc>
        <w:tc>
          <w:tcPr>
            <w:tcW w:w="1134" w:type="dxa"/>
            <w:vAlign w:val="center"/>
          </w:tcPr>
          <w:p>
            <w:pPr>
              <w:pStyle w:val="12"/>
            </w:pPr>
            <w:r>
              <w:t>3.11</w:t>
            </w:r>
          </w:p>
        </w:tc>
        <w:tc>
          <w:tcPr>
            <w:tcW w:w="1134" w:type="dxa"/>
            <w:vAlign w:val="center"/>
          </w:tcPr>
          <w:p>
            <w:pPr>
              <w:pStyle w:val="12"/>
            </w:pPr>
            <w:r>
              <w:t>3.11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r>
              <w:t>3.34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83.73</w:t>
            </w:r>
          </w:p>
        </w:tc>
        <w:tc>
          <w:tcPr>
            <w:tcW w:w="1361" w:type="dxa"/>
            <w:vAlign w:val="center"/>
          </w:tcPr>
          <w:p>
            <w:pPr>
              <w:pStyle w:val="16"/>
            </w:pPr>
            <w:r>
              <w:t>83.73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70.36</w:t>
            </w:r>
          </w:p>
        </w:tc>
        <w:tc>
          <w:tcPr>
            <w:tcW w:w="1361" w:type="dxa"/>
            <w:vAlign w:val="center"/>
          </w:tcPr>
          <w:p>
            <w:pPr>
              <w:pStyle w:val="12"/>
            </w:pPr>
            <w:r>
              <w:t>70.36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4.08</w:t>
            </w: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4.08</w:t>
            </w:r>
          </w:p>
        </w:tc>
        <w:tc>
          <w:tcPr>
            <w:tcW w:w="1361" w:type="dxa"/>
            <w:vAlign w:val="center"/>
          </w:tcPr>
          <w:p>
            <w:pPr>
              <w:pStyle w:val="12"/>
            </w:pPr>
            <w:r>
              <w:t>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20126</w:t>
            </w:r>
          </w:p>
        </w:tc>
        <w:tc>
          <w:tcPr>
            <w:tcW w:w="4535" w:type="dxa"/>
            <w:vAlign w:val="center"/>
          </w:tcPr>
          <w:p>
            <w:pPr>
              <w:pStyle w:val="13"/>
            </w:pPr>
            <w:r>
              <w:t>档案事务</w:t>
            </w:r>
          </w:p>
        </w:tc>
        <w:tc>
          <w:tcPr>
            <w:tcW w:w="1361" w:type="dxa"/>
            <w:vAlign w:val="center"/>
          </w:tcPr>
          <w:p>
            <w:pPr>
              <w:pStyle w:val="12"/>
            </w:pPr>
            <w:r>
              <w:t>66.28</w:t>
            </w:r>
          </w:p>
        </w:tc>
        <w:tc>
          <w:tcPr>
            <w:tcW w:w="1361" w:type="dxa"/>
            <w:vAlign w:val="center"/>
          </w:tcPr>
          <w:p>
            <w:pPr>
              <w:pStyle w:val="12"/>
            </w:pPr>
            <w:r>
              <w:t>66.28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2012699</w:t>
            </w:r>
          </w:p>
        </w:tc>
        <w:tc>
          <w:tcPr>
            <w:tcW w:w="4535" w:type="dxa"/>
            <w:vAlign w:val="center"/>
          </w:tcPr>
          <w:p>
            <w:pPr>
              <w:pStyle w:val="13"/>
            </w:pPr>
            <w:r>
              <w:t>其他档案事务支出</w:t>
            </w:r>
          </w:p>
        </w:tc>
        <w:tc>
          <w:tcPr>
            <w:tcW w:w="1361" w:type="dxa"/>
            <w:vAlign w:val="center"/>
          </w:tcPr>
          <w:p>
            <w:pPr>
              <w:pStyle w:val="12"/>
            </w:pPr>
            <w:r>
              <w:t>66.28</w:t>
            </w:r>
          </w:p>
        </w:tc>
        <w:tc>
          <w:tcPr>
            <w:tcW w:w="1361" w:type="dxa"/>
            <w:vAlign w:val="center"/>
          </w:tcPr>
          <w:p>
            <w:pPr>
              <w:pStyle w:val="12"/>
            </w:pPr>
            <w:r>
              <w:t>66.28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6.67</w:t>
            </w:r>
          </w:p>
        </w:tc>
        <w:tc>
          <w:tcPr>
            <w:tcW w:w="1361" w:type="dxa"/>
            <w:vAlign w:val="center"/>
          </w:tcPr>
          <w:p>
            <w:pPr>
              <w:pStyle w:val="12"/>
            </w:pPr>
            <w:r>
              <w:t>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6.67</w:t>
            </w:r>
          </w:p>
        </w:tc>
        <w:tc>
          <w:tcPr>
            <w:tcW w:w="1361" w:type="dxa"/>
            <w:vAlign w:val="center"/>
          </w:tcPr>
          <w:p>
            <w:pPr>
              <w:pStyle w:val="12"/>
            </w:pPr>
            <w:r>
              <w:t>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6.67</w:t>
            </w:r>
          </w:p>
        </w:tc>
        <w:tc>
          <w:tcPr>
            <w:tcW w:w="1361" w:type="dxa"/>
            <w:vAlign w:val="center"/>
          </w:tcPr>
          <w:p>
            <w:pPr>
              <w:pStyle w:val="12"/>
            </w:pPr>
            <w:r>
              <w:t>6.67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3.37</w:t>
            </w: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3.37</w:t>
            </w:r>
          </w:p>
        </w:tc>
        <w:tc>
          <w:tcPr>
            <w:tcW w:w="1361" w:type="dxa"/>
            <w:vAlign w:val="center"/>
          </w:tcPr>
          <w:p>
            <w:pPr>
              <w:pStyle w:val="12"/>
            </w:pPr>
            <w:r>
              <w:t>3.37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0.26</w:t>
            </w:r>
          </w:p>
        </w:tc>
        <w:tc>
          <w:tcPr>
            <w:tcW w:w="1361" w:type="dxa"/>
            <w:vAlign w:val="center"/>
          </w:tcPr>
          <w:p>
            <w:pPr>
              <w:pStyle w:val="12"/>
            </w:pPr>
            <w:r>
              <w:t>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3.11</w:t>
            </w:r>
          </w:p>
        </w:tc>
        <w:tc>
          <w:tcPr>
            <w:tcW w:w="1361" w:type="dxa"/>
            <w:vAlign w:val="center"/>
          </w:tcPr>
          <w:p>
            <w:pPr>
              <w:pStyle w:val="12"/>
            </w:pPr>
            <w:r>
              <w:t>3.11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3.34</w:t>
            </w:r>
          </w:p>
        </w:tc>
        <w:tc>
          <w:tcPr>
            <w:tcW w:w="1361" w:type="dxa"/>
            <w:vAlign w:val="center"/>
          </w:tcPr>
          <w:p>
            <w:pPr>
              <w:pStyle w:val="12"/>
            </w:pPr>
            <w:r>
              <w:t>3.34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83.73</w:t>
            </w:r>
          </w:p>
        </w:tc>
        <w:tc>
          <w:tcPr>
            <w:tcW w:w="3402" w:type="dxa"/>
            <w:vAlign w:val="center"/>
          </w:tcPr>
          <w:p>
            <w:pPr>
              <w:pStyle w:val="13"/>
            </w:pPr>
            <w:r>
              <w:t>一、一般公共服务支出</w:t>
            </w:r>
          </w:p>
        </w:tc>
        <w:tc>
          <w:tcPr>
            <w:tcW w:w="1474" w:type="dxa"/>
            <w:vAlign w:val="center"/>
          </w:tcPr>
          <w:p>
            <w:pPr>
              <w:pStyle w:val="12"/>
            </w:pPr>
            <w:r>
              <w:t>70.36</w:t>
            </w:r>
          </w:p>
        </w:tc>
        <w:tc>
          <w:tcPr>
            <w:tcW w:w="1474" w:type="dxa"/>
            <w:vAlign w:val="center"/>
          </w:tcPr>
          <w:p>
            <w:pPr>
              <w:pStyle w:val="12"/>
            </w:pPr>
            <w:r>
              <w:t>70.36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6.67</w:t>
            </w:r>
          </w:p>
        </w:tc>
        <w:tc>
          <w:tcPr>
            <w:tcW w:w="1474" w:type="dxa"/>
            <w:vAlign w:val="center"/>
          </w:tcPr>
          <w:p>
            <w:pPr>
              <w:pStyle w:val="12"/>
            </w:pPr>
            <w:r>
              <w:t>6.67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3.37</w:t>
            </w:r>
          </w:p>
        </w:tc>
        <w:tc>
          <w:tcPr>
            <w:tcW w:w="1474" w:type="dxa"/>
            <w:vAlign w:val="center"/>
          </w:tcPr>
          <w:p>
            <w:pPr>
              <w:pStyle w:val="12"/>
            </w:pPr>
            <w:r>
              <w:t>3.37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3.34</w:t>
            </w:r>
          </w:p>
        </w:tc>
        <w:tc>
          <w:tcPr>
            <w:tcW w:w="1474" w:type="dxa"/>
            <w:vAlign w:val="center"/>
          </w:tcPr>
          <w:p>
            <w:pPr>
              <w:pStyle w:val="12"/>
            </w:pPr>
            <w:r>
              <w:t>3.34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83.73</w:t>
            </w:r>
          </w:p>
        </w:tc>
        <w:tc>
          <w:tcPr>
            <w:tcW w:w="3402" w:type="dxa"/>
            <w:vAlign w:val="center"/>
          </w:tcPr>
          <w:p>
            <w:pPr>
              <w:pStyle w:val="15"/>
            </w:pPr>
            <w:r>
              <w:t>本年支出合计</w:t>
            </w:r>
          </w:p>
        </w:tc>
        <w:tc>
          <w:tcPr>
            <w:tcW w:w="1474" w:type="dxa"/>
            <w:vAlign w:val="center"/>
          </w:tcPr>
          <w:p>
            <w:pPr>
              <w:pStyle w:val="16"/>
            </w:pPr>
            <w:r>
              <w:t>83.73</w:t>
            </w:r>
          </w:p>
        </w:tc>
        <w:tc>
          <w:tcPr>
            <w:tcW w:w="1474" w:type="dxa"/>
            <w:vAlign w:val="center"/>
          </w:tcPr>
          <w:p>
            <w:pPr>
              <w:pStyle w:val="16"/>
            </w:pPr>
            <w:r>
              <w:t>83.73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83.73</w:t>
            </w:r>
          </w:p>
        </w:tc>
        <w:tc>
          <w:tcPr>
            <w:tcW w:w="3402" w:type="dxa"/>
            <w:vAlign w:val="center"/>
          </w:tcPr>
          <w:p>
            <w:pPr>
              <w:pStyle w:val="15"/>
            </w:pPr>
            <w:r>
              <w:t>支出总计</w:t>
            </w:r>
          </w:p>
        </w:tc>
        <w:tc>
          <w:tcPr>
            <w:tcW w:w="1474" w:type="dxa"/>
            <w:vAlign w:val="center"/>
          </w:tcPr>
          <w:p>
            <w:pPr>
              <w:pStyle w:val="16"/>
            </w:pPr>
            <w:r>
              <w:t>83.73</w:t>
            </w:r>
          </w:p>
        </w:tc>
        <w:tc>
          <w:tcPr>
            <w:tcW w:w="1474" w:type="dxa"/>
            <w:vAlign w:val="center"/>
          </w:tcPr>
          <w:p>
            <w:pPr>
              <w:pStyle w:val="16"/>
            </w:pPr>
            <w:r>
              <w:t>83.73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83.73</w:t>
            </w:r>
          </w:p>
        </w:tc>
        <w:tc>
          <w:tcPr>
            <w:tcW w:w="2551" w:type="dxa"/>
            <w:vAlign w:val="center"/>
          </w:tcPr>
          <w:p>
            <w:pPr>
              <w:pStyle w:val="16"/>
            </w:pPr>
            <w:r>
              <w:t>83.73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70.36</w:t>
            </w:r>
          </w:p>
        </w:tc>
        <w:tc>
          <w:tcPr>
            <w:tcW w:w="2551" w:type="dxa"/>
            <w:vAlign w:val="center"/>
          </w:tcPr>
          <w:p>
            <w:pPr>
              <w:pStyle w:val="12"/>
            </w:pPr>
            <w:r>
              <w:t>70.36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4.08</w:t>
            </w:r>
          </w:p>
        </w:tc>
        <w:tc>
          <w:tcPr>
            <w:tcW w:w="2551" w:type="dxa"/>
            <w:vAlign w:val="center"/>
          </w:tcPr>
          <w:p>
            <w:pPr>
              <w:pStyle w:val="12"/>
            </w:pPr>
            <w:r>
              <w:t>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4.08</w:t>
            </w:r>
          </w:p>
        </w:tc>
        <w:tc>
          <w:tcPr>
            <w:tcW w:w="2551" w:type="dxa"/>
            <w:vAlign w:val="center"/>
          </w:tcPr>
          <w:p>
            <w:pPr>
              <w:pStyle w:val="12"/>
            </w:pPr>
            <w:r>
              <w:t>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20126</w:t>
            </w:r>
          </w:p>
        </w:tc>
        <w:tc>
          <w:tcPr>
            <w:tcW w:w="4535" w:type="dxa"/>
            <w:vAlign w:val="center"/>
          </w:tcPr>
          <w:p>
            <w:pPr>
              <w:pStyle w:val="13"/>
            </w:pPr>
            <w:r>
              <w:t>档案事务</w:t>
            </w:r>
          </w:p>
        </w:tc>
        <w:tc>
          <w:tcPr>
            <w:tcW w:w="2551" w:type="dxa"/>
            <w:vAlign w:val="center"/>
          </w:tcPr>
          <w:p>
            <w:pPr>
              <w:pStyle w:val="12"/>
            </w:pPr>
            <w:r>
              <w:t>66.28</w:t>
            </w:r>
          </w:p>
        </w:tc>
        <w:tc>
          <w:tcPr>
            <w:tcW w:w="2551" w:type="dxa"/>
            <w:vAlign w:val="center"/>
          </w:tcPr>
          <w:p>
            <w:pPr>
              <w:pStyle w:val="12"/>
            </w:pPr>
            <w:r>
              <w:t>66.28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2012699</w:t>
            </w:r>
          </w:p>
        </w:tc>
        <w:tc>
          <w:tcPr>
            <w:tcW w:w="4535" w:type="dxa"/>
            <w:vAlign w:val="center"/>
          </w:tcPr>
          <w:p>
            <w:pPr>
              <w:pStyle w:val="13"/>
            </w:pPr>
            <w:r>
              <w:t>其他档案事务支出</w:t>
            </w:r>
          </w:p>
        </w:tc>
        <w:tc>
          <w:tcPr>
            <w:tcW w:w="2551" w:type="dxa"/>
            <w:vAlign w:val="center"/>
          </w:tcPr>
          <w:p>
            <w:pPr>
              <w:pStyle w:val="12"/>
            </w:pPr>
            <w:r>
              <w:t>66.28</w:t>
            </w:r>
          </w:p>
        </w:tc>
        <w:tc>
          <w:tcPr>
            <w:tcW w:w="2551" w:type="dxa"/>
            <w:vAlign w:val="center"/>
          </w:tcPr>
          <w:p>
            <w:pPr>
              <w:pStyle w:val="12"/>
            </w:pPr>
            <w:r>
              <w:t>66.28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6.67</w:t>
            </w:r>
          </w:p>
        </w:tc>
        <w:tc>
          <w:tcPr>
            <w:tcW w:w="2551" w:type="dxa"/>
            <w:vAlign w:val="center"/>
          </w:tcPr>
          <w:p>
            <w:pPr>
              <w:pStyle w:val="12"/>
            </w:pPr>
            <w:r>
              <w:t>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6.67</w:t>
            </w:r>
          </w:p>
        </w:tc>
        <w:tc>
          <w:tcPr>
            <w:tcW w:w="2551" w:type="dxa"/>
            <w:vAlign w:val="center"/>
          </w:tcPr>
          <w:p>
            <w:pPr>
              <w:pStyle w:val="12"/>
            </w:pPr>
            <w:r>
              <w:t>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6.67</w:t>
            </w:r>
          </w:p>
        </w:tc>
        <w:tc>
          <w:tcPr>
            <w:tcW w:w="2551" w:type="dxa"/>
            <w:vAlign w:val="center"/>
          </w:tcPr>
          <w:p>
            <w:pPr>
              <w:pStyle w:val="12"/>
            </w:pPr>
            <w:r>
              <w:t>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3.37</w:t>
            </w:r>
          </w:p>
        </w:tc>
        <w:tc>
          <w:tcPr>
            <w:tcW w:w="2551" w:type="dxa"/>
            <w:vAlign w:val="center"/>
          </w:tcPr>
          <w:p>
            <w:pPr>
              <w:pStyle w:val="12"/>
            </w:pPr>
            <w:r>
              <w:t>3.37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3.37</w:t>
            </w:r>
          </w:p>
        </w:tc>
        <w:tc>
          <w:tcPr>
            <w:tcW w:w="2551" w:type="dxa"/>
            <w:vAlign w:val="center"/>
          </w:tcPr>
          <w:p>
            <w:pPr>
              <w:pStyle w:val="12"/>
            </w:pPr>
            <w:r>
              <w:t>3.37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0.26</w:t>
            </w:r>
          </w:p>
        </w:tc>
        <w:tc>
          <w:tcPr>
            <w:tcW w:w="2551" w:type="dxa"/>
            <w:vAlign w:val="center"/>
          </w:tcPr>
          <w:p>
            <w:pPr>
              <w:pStyle w:val="12"/>
            </w:pPr>
            <w:r>
              <w:t>0.26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3.11</w:t>
            </w:r>
          </w:p>
        </w:tc>
        <w:tc>
          <w:tcPr>
            <w:tcW w:w="2551" w:type="dxa"/>
            <w:vAlign w:val="center"/>
          </w:tcPr>
          <w:p>
            <w:pPr>
              <w:pStyle w:val="12"/>
            </w:pPr>
            <w:r>
              <w:t>3.11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83.73</w:t>
            </w:r>
          </w:p>
        </w:tc>
        <w:tc>
          <w:tcPr>
            <w:tcW w:w="2551" w:type="dxa"/>
            <w:vAlign w:val="center"/>
          </w:tcPr>
          <w:p>
            <w:pPr>
              <w:pStyle w:val="16"/>
            </w:pPr>
            <w:r>
              <w:t>80.58</w:t>
            </w:r>
          </w:p>
        </w:tc>
        <w:tc>
          <w:tcPr>
            <w:tcW w:w="2551" w:type="dxa"/>
            <w:vAlign w:val="center"/>
          </w:tcPr>
          <w:p>
            <w:pPr>
              <w:pStyle w:val="16"/>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59.44</w:t>
            </w:r>
          </w:p>
        </w:tc>
        <w:tc>
          <w:tcPr>
            <w:tcW w:w="2551" w:type="dxa"/>
            <w:vAlign w:val="center"/>
          </w:tcPr>
          <w:p>
            <w:pPr>
              <w:pStyle w:val="12"/>
            </w:pPr>
            <w:r>
              <w:t>59.44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25.83</w:t>
            </w:r>
          </w:p>
        </w:tc>
        <w:tc>
          <w:tcPr>
            <w:tcW w:w="2551" w:type="dxa"/>
            <w:vAlign w:val="center"/>
          </w:tcPr>
          <w:p>
            <w:pPr>
              <w:pStyle w:val="12"/>
            </w:pPr>
            <w:r>
              <w:t>25.83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2.94</w:t>
            </w:r>
          </w:p>
        </w:tc>
        <w:tc>
          <w:tcPr>
            <w:tcW w:w="2551" w:type="dxa"/>
            <w:vAlign w:val="center"/>
          </w:tcPr>
          <w:p>
            <w:pPr>
              <w:pStyle w:val="12"/>
            </w:pPr>
            <w:r>
              <w:t>2.94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12.77</w:t>
            </w:r>
          </w:p>
        </w:tc>
        <w:tc>
          <w:tcPr>
            <w:tcW w:w="2551" w:type="dxa"/>
            <w:vAlign w:val="center"/>
          </w:tcPr>
          <w:p>
            <w:pPr>
              <w:pStyle w:val="12"/>
            </w:pPr>
            <w:r>
              <w:t>12.77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6.67</w:t>
            </w:r>
          </w:p>
        </w:tc>
        <w:tc>
          <w:tcPr>
            <w:tcW w:w="2551" w:type="dxa"/>
            <w:vAlign w:val="center"/>
          </w:tcPr>
          <w:p>
            <w:pPr>
              <w:pStyle w:val="12"/>
            </w:pPr>
            <w:r>
              <w:t>6.67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3.37</w:t>
            </w:r>
          </w:p>
        </w:tc>
        <w:tc>
          <w:tcPr>
            <w:tcW w:w="2551" w:type="dxa"/>
            <w:vAlign w:val="center"/>
          </w:tcPr>
          <w:p>
            <w:pPr>
              <w:pStyle w:val="12"/>
            </w:pPr>
            <w:r>
              <w:t>3.37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0.45</w:t>
            </w:r>
          </w:p>
        </w:tc>
        <w:tc>
          <w:tcPr>
            <w:tcW w:w="2551" w:type="dxa"/>
            <w:vAlign w:val="center"/>
          </w:tcPr>
          <w:p>
            <w:pPr>
              <w:pStyle w:val="12"/>
            </w:pPr>
            <w:r>
              <w:t>0.45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4.08</w:t>
            </w:r>
          </w:p>
        </w:tc>
        <w:tc>
          <w:tcPr>
            <w:tcW w:w="2551" w:type="dxa"/>
            <w:vAlign w:val="center"/>
          </w:tcPr>
          <w:p>
            <w:pPr>
              <w:pStyle w:val="12"/>
            </w:pPr>
            <w:r>
              <w:t>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3.15</w:t>
            </w:r>
          </w:p>
        </w:tc>
        <w:tc>
          <w:tcPr>
            <w:tcW w:w="2551" w:type="dxa"/>
            <w:vAlign w:val="center"/>
          </w:tcPr>
          <w:p>
            <w:pPr>
              <w:pStyle w:val="12"/>
            </w:pPr>
          </w:p>
        </w:tc>
        <w:tc>
          <w:tcPr>
            <w:tcW w:w="2551" w:type="dxa"/>
            <w:vAlign w:val="center"/>
          </w:tcPr>
          <w:p>
            <w:pPr>
              <w:pStyle w:val="12"/>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0.35</w:t>
            </w:r>
          </w:p>
        </w:tc>
        <w:tc>
          <w:tcPr>
            <w:tcW w:w="2551" w:type="dxa"/>
            <w:vAlign w:val="center"/>
          </w:tcPr>
          <w:p>
            <w:pPr>
              <w:pStyle w:val="12"/>
            </w:pPr>
          </w:p>
        </w:tc>
        <w:tc>
          <w:tcPr>
            <w:tcW w:w="2551" w:type="dxa"/>
            <w:vAlign w:val="center"/>
          </w:tcPr>
          <w:p>
            <w:pPr>
              <w:pStyle w:val="12"/>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1.75</w:t>
            </w:r>
          </w:p>
        </w:tc>
        <w:tc>
          <w:tcPr>
            <w:tcW w:w="2551" w:type="dxa"/>
            <w:vAlign w:val="center"/>
          </w:tcPr>
          <w:p>
            <w:pPr>
              <w:pStyle w:val="12"/>
            </w:pPr>
          </w:p>
        </w:tc>
        <w:tc>
          <w:tcPr>
            <w:tcW w:w="2551"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21.14</w:t>
            </w:r>
          </w:p>
        </w:tc>
        <w:tc>
          <w:tcPr>
            <w:tcW w:w="2551" w:type="dxa"/>
            <w:vAlign w:val="center"/>
          </w:tcPr>
          <w:p>
            <w:pPr>
              <w:pStyle w:val="12"/>
            </w:pPr>
            <w:r>
              <w:t>21.14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21.14</w:t>
            </w:r>
          </w:p>
        </w:tc>
        <w:tc>
          <w:tcPr>
            <w:tcW w:w="2551" w:type="dxa"/>
            <w:vAlign w:val="center"/>
          </w:tcPr>
          <w:p>
            <w:pPr>
              <w:pStyle w:val="12"/>
            </w:pPr>
            <w:r>
              <w:t>21.14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241昌黎县档案馆</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1.75</w:t>
            </w:r>
          </w:p>
        </w:tc>
        <w:tc>
          <w:tcPr>
            <w:tcW w:w="2381" w:type="dxa"/>
            <w:vAlign w:val="center"/>
          </w:tcPr>
          <w:p>
            <w:pPr>
              <w:pStyle w:val="16"/>
            </w:pPr>
            <w:r>
              <w:t>1.75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1.75</w:t>
            </w:r>
          </w:p>
        </w:tc>
        <w:tc>
          <w:tcPr>
            <w:tcW w:w="2381" w:type="dxa"/>
            <w:vAlign w:val="center"/>
          </w:tcPr>
          <w:p>
            <w:pPr>
              <w:pStyle w:val="12"/>
            </w:pPr>
            <w:r>
              <w:t>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昌黎县档案馆2026年部门预算信息公开情况说明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昌黎县档案馆2026年部门预算信息公开情况说明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按照《中华人民共和国预算法》、《地方预决算公开操作规程》和《关于进一步推进预算公开工作的实施意见》规定，现将昌黎县档案馆2026年部门预算公开如下：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1、坚持和加强党对档案工作的集中统一领导，坚决贯彻执行国家、省、市、县有关档案管理的法律、法规、规章。</w:t>
      </w:r>
    </w:p>
    <w:p>
      <w:pPr>
        <w:pStyle w:val="18"/>
      </w:pPr>
      <w:r>
        <w:t>2、集中统一管理县直机关、社会团体、部分企事业单位的档案资料。保守党和国家的机密，维护档案完整，确保档案安全。</w:t>
      </w:r>
    </w:p>
    <w:p>
      <w:pPr>
        <w:pStyle w:val="18"/>
      </w:pPr>
      <w:r>
        <w:t>3、接收县委、县人大常委会、县政府、县政协、县纪委监委及县直各机关、单位、乡镇应进馆的档案资料。</w:t>
      </w:r>
    </w:p>
    <w:p>
      <w:pPr>
        <w:pStyle w:val="18"/>
      </w:pPr>
      <w:r>
        <w:t>4、征集散存在社会上对国家和社会有保存价值的珍贵档案资料，对现有馆藏档案资料进行整理、编目、鉴定、统计和及时保护工作。</w:t>
      </w:r>
    </w:p>
    <w:p>
      <w:pPr>
        <w:pStyle w:val="18"/>
      </w:pPr>
      <w:r>
        <w:t>5、做好档案查阅工作，依法开放档案，为党和政府及社会各方面提供利用服务。</w:t>
      </w:r>
    </w:p>
    <w:p>
      <w:pPr>
        <w:pStyle w:val="18"/>
      </w:pPr>
      <w:r>
        <w:t>6、进行公开信息的收集、管理和集中查阅工作。开发档案信息资源，开展档案史料编研出版、展览陈列和社会教育活动。</w:t>
      </w:r>
    </w:p>
    <w:p>
      <w:pPr>
        <w:pStyle w:val="18"/>
      </w:pPr>
      <w:r>
        <w:t>7、运用现代化技术手段，开展馆藏档案的信息化建设。</w:t>
      </w:r>
    </w:p>
    <w:p>
      <w:pPr>
        <w:pStyle w:val="18"/>
      </w:pPr>
      <w:r>
        <w:t>8、负责县档案馆安全管理和安全风险评估工作。</w:t>
      </w:r>
    </w:p>
    <w:p>
      <w:pPr>
        <w:pStyle w:val="18"/>
      </w:pPr>
      <w:r>
        <w:rPr>
          <w:rFonts w:hint="default"/>
          <w:lang w:val="en-US"/>
        </w:rPr>
        <w:t>9</w:t>
      </w:r>
      <w:r>
        <w:t>、完成县委交办的其他任务。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昌黎县档案馆本级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按照预算管理有关规定，目前部门预算的编制实行综合预算管理，即全部收入和支出都反映在预算中。昌黎县档案馆机关及所属事业单位的收支包含在部门预算中。</w:t>
      </w:r>
    </w:p>
    <w:p>
      <w:pPr>
        <w:pStyle w:val="19"/>
      </w:pPr>
      <w:r>
        <w:t>1、收入说明</w:t>
      </w:r>
    </w:p>
    <w:p>
      <w:pPr>
        <w:pStyle w:val="19"/>
      </w:pPr>
      <w:r>
        <w:t>反映本部门当年全部收入。2026年预算收入83.73万元，其中：一般公共预算收入83.73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档案馆年度部门预算中支出预算的总体情况。2026年支出预算83.73万元，其中基本支出83.73万元，包括人员经费80.58万元和日常公用经费3.15万元；项目支出0.00万元，主要为2026年我部门无项目安排；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83.73万元，较2025年预算减少67.08万元，其中：基本支出减少67.08万元，主要为2026年人员减少，工资和保险费用相应减少。项目支出增加0.00万元，主要为2026年无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2026年，我部门机关运行经费共计安排3.15万元，主要用于日常维修、办公用房水电费、办公用房取暖费、办公用房物业管理费等日常运行支出。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1.75万元，其中因公出国（境）费0.00万元；公务用车购置及运维费1.75万元（其中：公务用车购置费为0.00万元，公务用车运维费1.75万元)；公务接待费0.00万元。与2025年相比减少0.05万元，增减变化的主要原因是为落实习惯过紧日子的要求，压减公务用车运维费用0.05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2026年,昌黎县档案馆依据机构改革后中共昌黎县委办公室印发的《昌办字【2020】20号》文件三定方案规定的具体要求，认真学习贯彻落实《</w:t>
      </w:r>
      <w:r>
        <w:rPr>
          <w:rFonts w:hint="eastAsia"/>
          <w:lang w:eastAsia="zh-CN"/>
        </w:rPr>
        <w:t>中华人民共和国</w:t>
      </w:r>
      <w:bookmarkStart w:id="20" w:name="_GoBack"/>
      <w:bookmarkEnd w:id="20"/>
      <w:r>
        <w:t>档案法》及其《实施办法》，结合档案馆业务的实际情况，开展2025年预算编制工作，提供准确、全面的预算信息，节约财政资金。坚持和加强党对档案工作的集中统一领导，坚决贯彻执行国家、省、市、县有关档案管理的法律、法规、规章。集中统一管理县直机关、社会团体、部分企事业单位的档案资料。保守党和国家的机密，维护档案完整，确保档案安全。接收县委、县人大常委会、县政府、县政协、县纪委监委及县直各机关、单位、乡镇应进馆的档案资料。征集散存在社会上对国家和社会有保存价值的珍贵档案资料，对现有馆藏档案资料进行整理、编目、鉴定、统计和技术保护工作。做好档案查阅工作，依法开放档案，为党和政府及社会各方面提供利用服务。进行公开信息的收集、管理和集中查阅工作。开发档案信息资源，开展档案史料编研出版、展览陈列和社会教育活动。运用现代化技术手段，开展馆藏档案的信息化建设。负责县档案馆安全管理和安全风险评估工作。完成县委交办的其他任务。</w:t>
      </w:r>
    </w:p>
    <w:p>
      <w:pPr>
        <w:pStyle w:val="22"/>
      </w:pPr>
      <w:r>
        <w:t>2026年度，按照上级领导部门下达的任务以及档案工作的实际要求和现状，我们首先做好档案资源建设和保管，保障档案工作的正常运行，申请档案工作经费10万元，主要用于档案馆日常办公、水电暖支出以及档案宣传工作，预算执行过程中，预计达到节约水电资源，保障档案馆工作持续进行，提高财政资金使用效率，做到办公节俭高效，查档对象服务满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（一）确保机关正常运行。</w:t>
      </w:r>
    </w:p>
    <w:p>
      <w:pPr>
        <w:pStyle w:val="23"/>
      </w:pPr>
      <w:r>
        <w:t>绩效目标：提升综合事务办公准确率。                         绩效指标：综合事务完成率保持在95%以上；综合事务差错率1%以下。</w:t>
      </w:r>
    </w:p>
    <w:p>
      <w:pPr>
        <w:pStyle w:val="23"/>
      </w:pPr>
      <w:r>
        <w:t>（二）保障档案馆日常管理、办公、安全保管支出。</w:t>
      </w:r>
    </w:p>
    <w:p>
      <w:pPr>
        <w:pStyle w:val="23"/>
      </w:pPr>
      <w:r>
        <w:t>绩效目标：保障入驻档案安全，提高档案利用率；满足档案使用各方面需求，提高档案利用价值。</w:t>
      </w:r>
    </w:p>
    <w:p>
      <w:pPr>
        <w:pStyle w:val="23"/>
      </w:pPr>
      <w:r>
        <w:t>绩效指标：2025年预计接收乡镇及各县直单位文书档案20000余件，接待各级各单位查阅文书档案300余人次，接待社会人员查阅婚姻、计生档案800余人次，修裱企业破损档案500余件。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（一）加强档案馆自身建设。</w:t>
      </w:r>
    </w:p>
    <w:p>
      <w:pPr>
        <w:pStyle w:val="24"/>
      </w:pPr>
      <w:r>
        <w:t>深入学习档案保管、整理等各项业务知识，熟悉档案数字化系统操作，提高业务能力。</w:t>
      </w:r>
    </w:p>
    <w:p>
      <w:pPr>
        <w:pStyle w:val="24"/>
      </w:pPr>
      <w:r>
        <w:t>（二）完善制度建设。</w:t>
      </w:r>
    </w:p>
    <w:p>
      <w:pPr>
        <w:pStyle w:val="24"/>
      </w:pPr>
      <w:r>
        <w:t>制定完善的预算绩效管理制度，资金管理办法、工作保障制度等内控管理办法，为全年预算绩效目标的实现奠定制度基础。</w:t>
      </w:r>
    </w:p>
    <w:p>
      <w:pPr>
        <w:pStyle w:val="24"/>
      </w:pPr>
      <w:r>
        <w:t>（三）加强支出管理。</w:t>
      </w:r>
    </w:p>
    <w:p>
      <w:pPr>
        <w:pStyle w:val="24"/>
      </w:pPr>
      <w:r>
        <w:t>通过优化支出结构、编细编实预算，及时支付资金，6月底前细化编制预算，按规定及时下达资金等多种措施，确保支出进度达标。</w:t>
      </w:r>
    </w:p>
    <w:p>
      <w:pPr>
        <w:pStyle w:val="24"/>
      </w:pPr>
      <w:r>
        <w:t>（四）加强绩效运行监控。</w:t>
      </w:r>
    </w:p>
    <w:p>
      <w:pPr>
        <w:pStyle w:val="24"/>
      </w:pPr>
      <w:r>
        <w:t>按要求开展绩效运行监控，发现问题及时采取措施，确保绩效目标如期保质实现。</w:t>
      </w:r>
    </w:p>
    <w:p>
      <w:pPr>
        <w:pStyle w:val="24"/>
      </w:pPr>
      <w:r>
        <w:t>（五）做好绩效自评。按要求开展上年度部门预算绩效自评和重点评价工作，对评价中发现的问题及时整改，调整优化支出结构，提高财政资金使用效益。</w:t>
      </w:r>
    </w:p>
    <w:p>
      <w:pPr>
        <w:pStyle w:val="24"/>
      </w:pPr>
      <w:r>
        <w:t>（六）规范财务资产管理。完善财务管理制度，严格审批程序，加强国有资产登记、使用和报废处置管理，做到支出合理，物尽其用。</w:t>
      </w:r>
    </w:p>
    <w:p>
      <w:pPr>
        <w:pStyle w:val="24"/>
      </w:pPr>
      <w:r>
        <w:t>（七）加强内部监督。</w:t>
      </w:r>
    </w:p>
    <w:p>
      <w:pPr>
        <w:pStyle w:val="24"/>
      </w:pPr>
      <w:r>
        <w:t>加强内部监督制度建设，对绩效运行情况，重大支出决策、资产处置及其他重要经济业务事项决策和执行进行督导，对会计资料进行内部审计，并配合做好审计、财务监督等外部监督工作，确保财政资金安全有效。</w:t>
      </w:r>
    </w:p>
    <w:p>
      <w:pPr>
        <w:pStyle w:val="24"/>
      </w:pPr>
      <w:r>
        <w:t>（八）加强宣传培训调研。</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241昌黎县档案馆</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昌黎县档案馆（含所属单位）上年末固定资产金额为181.55万元（详见下表）。本年度拟购置固定资产总额为0.00万元，已按要求列入政府采购预算，详见政府采购预算表。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241昌黎县档案馆</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181.55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1500</w:t>
            </w:r>
          </w:p>
        </w:tc>
        <w:tc>
          <w:tcPr>
            <w:tcW w:w="2835" w:type="dxa"/>
            <w:vAlign w:val="center"/>
          </w:tcPr>
          <w:p>
            <w:pPr>
              <w:pStyle w:val="12"/>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1500</w:t>
            </w:r>
          </w:p>
        </w:tc>
        <w:tc>
          <w:tcPr>
            <w:tcW w:w="2835" w:type="dxa"/>
            <w:vAlign w:val="center"/>
          </w:tcPr>
          <w:p>
            <w:pPr>
              <w:pStyle w:val="12"/>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9.68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56</w:t>
            </w:r>
          </w:p>
        </w:tc>
        <w:tc>
          <w:tcPr>
            <w:tcW w:w="2835" w:type="dxa"/>
            <w:vAlign w:val="center"/>
          </w:tcPr>
          <w:p>
            <w:pPr>
              <w:pStyle w:val="12"/>
            </w:pPr>
            <w:r>
              <w:t>123.87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D687CEA"/>
    <w:rsid w:val="52260DC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337</Words>
  <Characters>357</Characters>
  <TotalTime>0</TotalTime>
  <ScaleCrop>false</ScaleCrop>
  <LinksUpToDate>false</LinksUpToDate>
  <CharactersWithSpaces>378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jht</dc:creator>
  <cp:lastModifiedBy>Administrator</cp:lastModifiedBy>
  <dcterms:modified xsi:type="dcterms:W3CDTF">2026-02-09T02:34:29Z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eyJoZGlkIjoiY2EyMDI2MjhhM2IwODkzOWM1ZDljNzgwNDgzMDRkYzAiLCJ1c2VySWQiOiIzNzMwOTA5MzgifQ==</vt:lpwstr>
  </property>
  <property fmtid="{D5CDD505-2E9C-101B-9397-08002B2CF9AE}" pid="3" name="KSOProductBuildVer">
    <vt:lpwstr>2052-11.8.2.10912</vt:lpwstr>
  </property>
  <property fmtid="{D5CDD505-2E9C-101B-9397-08002B2CF9AE}" pid="4" name="ICV">
    <vt:lpwstr>6D9F994D536D44098A513BD3771D6B39_12</vt:lpwstr>
  </property>
</Properties>
</file>