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60288" behindDoc="1" locked="0" layoutInCell="1" allowOverlap="1">
            <wp:simplePos x="0" y="0"/>
            <wp:positionH relativeFrom="column">
              <wp:posOffset>-1008380</wp:posOffset>
            </wp:positionH>
            <wp:positionV relativeFrom="paragraph">
              <wp:posOffset>-1313180</wp:posOffset>
            </wp:positionV>
            <wp:extent cx="7576185" cy="10796905"/>
            <wp:effectExtent l="0" t="0" r="6350" b="444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6119" cy="10796905"/>
                    </a:xfrm>
                    <a:prstGeom prst="rect">
                      <a:avLst/>
                    </a:prstGeom>
                  </pic:spPr>
                </pic:pic>
              </a:graphicData>
            </a:graphic>
          </wp:anchor>
        </w:drawing>
      </w:r>
    </w:p>
    <w:p>
      <w:pPr>
        <w:widowControl/>
        <w:tabs>
          <w:tab w:val="center" w:pos="4422"/>
          <w:tab w:val="left" w:pos="7065"/>
        </w:tabs>
        <w:jc w:val="left"/>
        <w:rPr>
          <w:rFonts w:hAnsi="宋体" w:asciiTheme="minorEastAsia" w:eastAsiaTheme="minorEastAsia"/>
          <w:color w:val="002060"/>
          <w:sz w:val="72"/>
          <w:szCs w:val="72"/>
        </w:rPr>
      </w:pPr>
      <w:r>
        <w:rPr>
          <w:rFonts w:hAnsi="宋体" w:asciiTheme="minorEastAsia" w:eastAsiaTheme="minorEastAsia"/>
          <w:color w:val="002060"/>
          <w:sz w:val="72"/>
          <w:szCs w:val="72"/>
        </w:rPr>
        <w:tab/>
      </w:r>
      <w:r>
        <w:rPr>
          <w:sz w:val="72"/>
        </w:rPr>
        <w:pict>
          <v:shape id="_x0000_s1026" o:spid="_x0000_s1026" o:spt="202" type="#_x0000_t202" style="position:absolute;left:0pt;margin-left:-83.1pt;margin-top:43.25pt;height:166.25pt;width:596.2pt;z-index:251666432;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昌黎县人民法院</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r>
        <w:rPr>
          <w:rFonts w:hAnsi="宋体" w:asciiTheme="minorEastAsia" w:eastAsiaTheme="minorEastAsia"/>
          <w:color w:val="002060"/>
          <w:sz w:val="72"/>
          <w:szCs w:val="72"/>
        </w:rPr>
        <w:tab/>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二〇一九年九月</w:t>
      </w:r>
    </w:p>
    <w:p>
      <w:pPr>
        <w:spacing w:beforeLines="200" w:after="0" w:line="1000" w:lineRule="exact"/>
        <w:jc w:val="center"/>
        <w:rPr>
          <w:rFonts w:ascii="黑体" w:eastAsia="黑体"/>
          <w:sz w:val="48"/>
          <w:szCs w:val="48"/>
        </w:rPr>
      </w:pPr>
      <w:r>
        <w:rPr>
          <w:rFonts w:ascii="黑体" w:eastAsia="黑体"/>
          <w:sz w:val="48"/>
          <w:szCs w:val="48"/>
        </w:rPr>
        <w:pict>
          <v:rect id="矩形 13" o:spid="_x0000_s1097" o:spt="1" style="position:absolute;left:0pt;margin-left:-2.2pt;margin-top:-46.15pt;height:38.5pt;width:249.8pt;z-index:251659264;v-text-anchor:middle;mso-width-relative:page;mso-height-relative:page;" fillcolor="#D9D9D9" filled="t" stroked="f" coordsize="21600,21600" o:gfxdata="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A7cdLa&#10;AAAADQEAAA8AAAAAAAAAAQAgAAAAIgAAAGRycy9kb3ducmV2LnhtbFBLAQIUABQAAAAIAIdO4kDU&#10;s0CFVwIAAIsEAAAOAAAAAAAAAAEAIAAAACkBAABkcnMvZTJvRG9jLnhtbFBLBQYAAAAABgAGAFkB&#10;AADyBQAAAAA=&#10;">
            <v:path/>
            <v:fill on="t" focussize="0,0"/>
            <v:stroke on="f" weight="2pt"/>
            <v:imagedata o:title=""/>
            <o:lock v:ext="edit"/>
          </v:rect>
        </w:pict>
      </w:r>
      <w:r>
        <w:rPr>
          <w:rFonts w:ascii="黑体" w:eastAsia="黑体"/>
          <w:sz w:val="48"/>
          <w:szCs w:val="48"/>
        </w:rPr>
        <w:pict>
          <v:rect id="_x0000_s1096" o:spid="_x0000_s1096" o:spt="1" style="position:absolute;left:0pt;margin-left:-8.05pt;margin-top:-37.9pt;height:37.5pt;width:243.55pt;z-index:251676672;v-text-anchor:middle;mso-width-relative:page;mso-height-relative:page;" fillcolor="#003F77" filled="t" stroked="t" coordsize="21600,21600" o:gfxdata="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1JWOi2wAAAA0BAAAPAAAAAAAAAAEAIAAAACIAAABkcnMvZG93bnJldi54bWxQSwEC&#10;FAAUAAAACACHTuJAOEMmQtUCAABABgAADgAAAAAAAAABACAAAAAqAQAAZHJzL2Uyb0RvYy54bWxQ&#10;SwUGAAAAAAYABgBZAQAAcQYAAAAA&#10;">
            <v:path/>
            <v:fill type="gradient" on="t" color2="#0072CE" colors="0f #003F77;32768f #005FAD;65536f #0072CE" angle="180" focus="100%" focussize="0f,0f" rotate="t"/>
            <v:stroke weight="2pt" color="#B0761F" joinstyle="round"/>
            <v:imagedata o:title=""/>
            <o:lock v:ext="edit"/>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pic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asciiTheme="minorEastAsia" w:hAnsiTheme="minorEastAsia" w:eastAsiaTheme="minorEastAsia"/>
          <w:sz w:val="24"/>
          <w:szCs w:val="32"/>
        </w:rPr>
      </w:pPr>
      <w:r>
        <w:rPr>
          <w:rFonts w:asciiTheme="minorEastAsia" w:hAnsiTheme="minorEastAsia" w:eastAsiaTheme="minorEastAsia"/>
          <w:sz w:val="32"/>
          <w:szCs w:val="32"/>
        </w:rPr>
        <w:t>第一部分   部门概况</w:t>
      </w:r>
    </w:p>
    <w:p>
      <w:pPr>
        <w:widowControl/>
        <w:spacing w:line="580" w:lineRule="exact"/>
        <w:ind w:firstLine="1273" w:firstLineChars="398"/>
        <w:rPr>
          <w:rFonts w:asciiTheme="majorEastAsia" w:hAnsiTheme="majorEastAsia" w:eastAsiaTheme="majorEastAsia"/>
          <w:sz w:val="32"/>
          <w:szCs w:val="32"/>
        </w:rPr>
      </w:pPr>
      <w:r>
        <w:rPr>
          <w:rFonts w:asciiTheme="majorEastAsia" w:hAnsiTheme="majorEastAsia" w:eastAsiaTheme="majorEastAsia"/>
          <w:sz w:val="32"/>
          <w:szCs w:val="32"/>
        </w:rPr>
        <w:t>一、部门</w:t>
      </w:r>
      <w:r>
        <w:rPr>
          <w:rFonts w:hint="eastAsia" w:asciiTheme="majorEastAsia" w:hAnsiTheme="majorEastAsia" w:eastAsiaTheme="majorEastAsia"/>
          <w:sz w:val="32"/>
          <w:szCs w:val="32"/>
        </w:rPr>
        <w:t>职责</w:t>
      </w:r>
    </w:p>
    <w:p>
      <w:pPr>
        <w:widowControl/>
        <w:spacing w:line="580" w:lineRule="exact"/>
        <w:ind w:firstLine="1273" w:firstLineChars="398"/>
        <w:rPr>
          <w:rFonts w:asciiTheme="majorEastAsia" w:hAnsiTheme="majorEastAsia" w:eastAsiaTheme="majorEastAsia"/>
          <w:sz w:val="32"/>
          <w:szCs w:val="32"/>
        </w:rPr>
      </w:pPr>
      <w:r>
        <w:rPr>
          <w:rFonts w:asciiTheme="majorEastAsia" w:hAnsiTheme="majorEastAsia" w:eastAsiaTheme="majorEastAsia"/>
          <w:sz w:val="32"/>
          <w:szCs w:val="32"/>
        </w:rPr>
        <w:t>二、</w:t>
      </w:r>
      <w:r>
        <w:rPr>
          <w:rFonts w:hint="eastAsia" w:asciiTheme="majorEastAsia" w:hAnsiTheme="majorEastAsia" w:eastAsiaTheme="majorEastAsia"/>
          <w:sz w:val="32"/>
          <w:szCs w:val="32"/>
        </w:rPr>
        <w:t>机构设置</w:t>
      </w:r>
    </w:p>
    <w:p>
      <w:pPr>
        <w:widowControl/>
        <w:spacing w:line="580" w:lineRule="exact"/>
        <w:ind w:firstLine="640" w:firstLineChars="200"/>
        <w:rPr>
          <w:rFonts w:asciiTheme="minorEastAsia" w:hAnsiTheme="minorEastAsia" w:eastAsiaTheme="minorEastAsia"/>
          <w:sz w:val="20"/>
          <w:szCs w:val="32"/>
        </w:rPr>
      </w:pPr>
      <w:r>
        <w:rPr>
          <w:rFonts w:asciiTheme="minorEastAsia" w:hAnsiTheme="minorEastAsia" w:eastAsiaTheme="minorEastAsia"/>
          <w:sz w:val="32"/>
          <w:szCs w:val="32"/>
        </w:rPr>
        <w:t>第二部分   201</w:t>
      </w:r>
      <w:r>
        <w:rPr>
          <w:rFonts w:hint="eastAsia" w:asciiTheme="minorEastAsia" w:hAnsiTheme="minorEastAsia" w:eastAsiaTheme="minorEastAsia"/>
          <w:sz w:val="32"/>
          <w:szCs w:val="32"/>
        </w:rPr>
        <w:t>8</w:t>
      </w:r>
      <w:r>
        <w:rPr>
          <w:rFonts w:asciiTheme="minorEastAsia" w:hAnsiTheme="minorEastAsia" w:eastAsiaTheme="minorEastAsia"/>
          <w:sz w:val="32"/>
          <w:szCs w:val="32"/>
        </w:rPr>
        <w:t>年度部门决算报表</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一、收入支出决算总表</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二、收入决算表</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三、支出决算表</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四、财政拨款收入支出决算总表</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五、一般公共预算财政拨款支出决算表</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六、一般公共预算财政拨款基本支出决算表</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七、</w:t>
      </w:r>
      <w:r>
        <w:rPr>
          <w:rFonts w:hint="eastAsia" w:asciiTheme="majorEastAsia" w:hAnsiTheme="majorEastAsia" w:eastAsiaTheme="majorEastAsia"/>
          <w:sz w:val="32"/>
          <w:szCs w:val="32"/>
        </w:rPr>
        <w:t>一般公共预算财政拨款</w:t>
      </w:r>
      <w:r>
        <w:rPr>
          <w:rFonts w:asciiTheme="majorEastAsia" w:hAnsiTheme="majorEastAsia" w:eastAsiaTheme="majorEastAsia"/>
          <w:sz w:val="32"/>
          <w:szCs w:val="32"/>
        </w:rPr>
        <w:t>“三公”经费</w:t>
      </w:r>
      <w:r>
        <w:rPr>
          <w:rFonts w:hint="eastAsia" w:asciiTheme="majorEastAsia" w:hAnsiTheme="majorEastAsia" w:eastAsiaTheme="majorEastAsia"/>
          <w:sz w:val="32"/>
          <w:szCs w:val="32"/>
        </w:rPr>
        <w:t>支出决算表</w:t>
      </w:r>
    </w:p>
    <w:p>
      <w:pPr>
        <w:widowControl/>
        <w:spacing w:line="580" w:lineRule="exact"/>
        <w:ind w:left="640" w:firstLine="640" w:firstLineChars="200"/>
        <w:rPr>
          <w:rFonts w:asciiTheme="majorEastAsia" w:hAnsiTheme="majorEastAsia" w:eastAsiaTheme="majorEastAsia"/>
          <w:sz w:val="32"/>
          <w:szCs w:val="32"/>
        </w:rPr>
      </w:pPr>
      <w:r>
        <w:rPr>
          <w:rFonts w:hint="eastAsia" w:asciiTheme="majorEastAsia" w:hAnsiTheme="majorEastAsia" w:eastAsiaTheme="majorEastAsia"/>
          <w:sz w:val="32"/>
          <w:szCs w:val="32"/>
        </w:rPr>
        <w:t>八、</w:t>
      </w:r>
      <w:r>
        <w:rPr>
          <w:rFonts w:asciiTheme="majorEastAsia" w:hAnsiTheme="majorEastAsia" w:eastAsiaTheme="majorEastAsia"/>
          <w:sz w:val="32"/>
          <w:szCs w:val="32"/>
        </w:rPr>
        <w:t>政府性基金预算财政拨款收入支出决算表</w:t>
      </w:r>
    </w:p>
    <w:p>
      <w:pPr>
        <w:widowControl/>
        <w:spacing w:line="580" w:lineRule="exact"/>
        <w:rPr>
          <w:rFonts w:eastAsia="仿宋_GB2312"/>
          <w:sz w:val="32"/>
          <w:szCs w:val="32"/>
        </w:rPr>
      </w:pPr>
      <w:r>
        <w:rPr>
          <w:rFonts w:hint="eastAsia" w:eastAsia="仿宋_GB2312"/>
          <w:sz w:val="32"/>
          <w:szCs w:val="32"/>
        </w:rPr>
        <w:t xml:space="preserve">        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rPr>
          <w:rFonts w:eastAsia="黑体"/>
          <w:sz w:val="32"/>
          <w:szCs w:val="32"/>
        </w:rPr>
      </w:pPr>
      <w:r>
        <w:rPr>
          <w:rFonts w:eastAsia="黑体"/>
          <w:sz w:val="32"/>
          <w:szCs w:val="32"/>
        </w:rPr>
        <w:pict>
          <v:rect id="_x0000_s1091" o:spid="_x0000_s1091" o:spt="1" style="position:absolute;left:0pt;margin-left:17.7pt;margin-top:-43.8pt;height:38.5pt;width:249.8pt;z-index:251671552;v-text-anchor:middle;mso-width-relative:page;mso-height-relative:page;" fillcolor="#D9D9D9" filled="t" stroked="f" coordsize="21600,21600" o:gfxdata="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A7cdLa&#10;AAAADQEAAA8AAAAAAAAAAQAgAAAAIgAAAGRycy9kb3ducmV2LnhtbFBLAQIUABQAAAAIAIdO4kDU&#10;s0CFVwIAAIsEAAAOAAAAAAAAAAEAIAAAACkBAABkcnMvZTJvRG9jLnhtbFBLBQYAAAAABgAGAFkB&#10;AADyBQAAAAA=&#10;">
            <v:path/>
            <v:fill on="t" focussize="0,0"/>
            <v:stroke on="f" weight="2pt"/>
            <v:imagedata o:title=""/>
            <o:lock v:ext="edit"/>
          </v:rect>
        </w:pict>
      </w:r>
      <w:r>
        <w:pict>
          <v:rect id="矩形 14" o:spid="_x0000_s1090" o:spt="1" style="position:absolute;left:0pt;margin-left:12.75pt;margin-top:-37.1pt;height:37.5pt;width:243.55pt;z-index:251672576;v-text-anchor:middle;mso-width-relative:page;mso-height-relative:page;" fillcolor="#003F77" filled="t" stroked="t" coordsize="21600,21600" o:gfxdata="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1JWOi2wAAAA0BAAAPAAAAAAAAAAEAIAAAACIAAABkcnMvZG93bnJldi54bWxQSwEC&#10;FAAUAAAACACHTuJAOEMmQtUCAABABgAADgAAAAAAAAABACAAAAAqAQAAZHJzL2Uyb0RvYy54bWxQ&#10;SwUGAAAAAAYABgBZAQAAcQYAAAAA&#10;">
            <v:path/>
            <v:fill type="gradient" on="t" color2="#0072CE" colors="0f #003F77;32768f #005FAD;65536f #0072CE" angle="180" focus="100%" focussize="0f,0f" rotate="t"/>
            <v:stroke weight="2pt" color="#B0761F" joinstyle="round"/>
            <v:imagedata o:title=""/>
            <o:lock v:ext="edit"/>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pict>
      </w:r>
      <w:r>
        <w:rPr>
          <w:rFonts w:hint="eastAsia" w:eastAsia="黑体"/>
          <w:sz w:val="32"/>
          <w:szCs w:val="32"/>
        </w:rPr>
        <w:t xml:space="preserve">   </w:t>
      </w:r>
    </w:p>
    <w:p>
      <w:pPr>
        <w:widowControl/>
        <w:spacing w:line="580" w:lineRule="exact"/>
        <w:rPr>
          <w:rFonts w:asciiTheme="minorEastAsia" w:hAnsiTheme="minorEastAsia" w:eastAsiaTheme="minorEastAsia"/>
          <w:sz w:val="32"/>
          <w:szCs w:val="32"/>
        </w:rPr>
      </w:pPr>
      <w:r>
        <w:rPr>
          <w:rFonts w:hint="eastAsia" w:eastAsia="黑体"/>
          <w:sz w:val="32"/>
          <w:szCs w:val="32"/>
        </w:rPr>
        <w:t xml:space="preserve">   </w:t>
      </w:r>
      <w:r>
        <w:rPr>
          <w:rFonts w:asciiTheme="minorEastAsia" w:hAnsiTheme="minorEastAsia" w:eastAsiaTheme="minorEastAsia"/>
          <w:sz w:val="32"/>
          <w:szCs w:val="32"/>
        </w:rPr>
        <w:t xml:space="preserve">第三部分 </w:t>
      </w:r>
      <w:r>
        <w:rPr>
          <w:rFonts w:hint="eastAsia" w:asciiTheme="minorEastAsia" w:hAnsiTheme="minorEastAsia" w:eastAsiaTheme="minorEastAsia"/>
          <w:sz w:val="32"/>
          <w:szCs w:val="32"/>
        </w:rPr>
        <w:t>昌黎县人民法院</w:t>
      </w:r>
      <w:r>
        <w:rPr>
          <w:rFonts w:asciiTheme="minorEastAsia" w:hAnsiTheme="minorEastAsia" w:eastAsiaTheme="minorEastAsia"/>
          <w:sz w:val="32"/>
          <w:szCs w:val="32"/>
        </w:rPr>
        <w:t>201</w:t>
      </w:r>
      <w:r>
        <w:rPr>
          <w:rFonts w:hint="eastAsia" w:asciiTheme="minorEastAsia" w:hAnsiTheme="minorEastAsia" w:eastAsiaTheme="minorEastAsia"/>
          <w:sz w:val="32"/>
          <w:szCs w:val="32"/>
        </w:rPr>
        <w:t>8</w:t>
      </w:r>
      <w:r>
        <w:rPr>
          <w:rFonts w:asciiTheme="minorEastAsia" w:hAnsiTheme="minorEastAsia" w:eastAsiaTheme="minorEastAsia"/>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w:t>
      </w:r>
    </w:p>
    <w:p>
      <w:pPr>
        <w:widowControl/>
        <w:spacing w:line="580" w:lineRule="exact"/>
        <w:ind w:left="640" w:firstLine="640" w:firstLineChars="200"/>
        <w:rPr>
          <w:rFonts w:eastAsia="仿宋_GB2312"/>
          <w:sz w:val="32"/>
          <w:szCs w:val="32"/>
        </w:rPr>
      </w:pPr>
      <w:r>
        <w:rPr>
          <w:rFonts w:eastAsia="仿宋_GB2312"/>
          <w:sz w:val="32"/>
          <w:szCs w:val="32"/>
        </w:rPr>
        <w:t>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asciiTheme="minorEastAsia" w:hAnsiTheme="minorEastAsia" w:eastAsiaTheme="minorEastAsia"/>
          <w:sz w:val="32"/>
          <w:szCs w:val="32"/>
        </w:rPr>
      </w:pPr>
      <w:r>
        <w:rPr>
          <w:rFonts w:asciiTheme="minorEastAsia" w:hAnsiTheme="minorEastAsia" w:eastAsiaTheme="minorEastAsia"/>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-1026160</wp:posOffset>
            </wp:positionH>
            <wp:positionV relativeFrom="paragraph">
              <wp:posOffset>-1351280</wp:posOffset>
            </wp:positionV>
            <wp:extent cx="7583805" cy="10727055"/>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83550" cy="10727055"/>
                    </a:xfrm>
                    <a:prstGeom prst="rect">
                      <a:avLst/>
                    </a:prstGeom>
                  </pic:spPr>
                </pic:pic>
              </a:graphicData>
            </a:graphic>
          </wp:anchor>
        </w:drawing>
      </w:r>
      <w:r>
        <w:rPr>
          <w:sz w:val="72"/>
        </w:rPr>
        <w:pict>
          <v:shape id="_x0000_s1089" o:spid="_x0000_s1089"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Pr>
        <w:pStyle w:val="2"/>
        <w:spacing w:before="0" w:after="0" w:line="600" w:lineRule="exact"/>
        <w:jc w:val="left"/>
        <w:rPr>
          <w:rFonts w:ascii="黑体" w:eastAsia="黑体" w:cs="黑体" w:hAnsiTheme="minorHAnsi"/>
          <w:b w:val="0"/>
          <w:bCs w:val="0"/>
          <w:kern w:val="0"/>
          <w:sz w:val="32"/>
          <w:szCs w:val="32"/>
        </w:rPr>
      </w:pPr>
      <w:r>
        <w:rPr>
          <w:rFonts w:ascii="黑体" w:eastAsia="黑体" w:cs="黑体" w:hAnsiTheme="minorHAnsi"/>
          <w:b w:val="0"/>
          <w:bCs w:val="0"/>
          <w:kern w:val="0"/>
          <w:sz w:val="32"/>
          <w:szCs w:val="32"/>
        </w:rPr>
        <w:pict>
          <v:rect id="_x0000_s1099" o:spid="_x0000_s1099" o:spt="1" style="position:absolute;left:0pt;margin-left:4.5pt;margin-top:-36.25pt;height:37.5pt;width:254.75pt;z-index:251678720;v-text-anchor:middle;mso-width-relative:page;mso-height-relative:page;" fillcolor="#003F77" filled="t" stroked="t" coordsize="21600,21600" o:gfxdata="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1JWOi2wAAAA0BAAAPAAAAAAAAAAEAIAAAACIAAABkcnMvZG93bnJldi54bWxQSwEC&#10;FAAUAAAACACHTuJAOEMmQtUCAABABgAADgAAAAAAAAABACAAAAAqAQAAZHJzL2Uyb0RvYy54bWxQ&#10;SwUGAAAAAAYABgBZAQAAcQYAAAAA&#10;">
            <v:path/>
            <v:fill type="gradient" on="t" color2="#0072CE" colors="0f #003F77;32768f #005FAD;65536f #0072CE" angle="180" focus="100%" focussize="0f,0f" rotate="t"/>
            <v:stroke weight="2pt" color="#B0761F" joinstyle="round"/>
            <v:imagedata o:title=""/>
            <o:lock v:ext="edit"/>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2018年度部门决算☞部门概况</w:t>
                  </w:r>
                </w:p>
                <w:p>
                  <w:pPr>
                    <w:jc w:val="center"/>
                  </w:pPr>
                </w:p>
              </w:txbxContent>
            </v:textbox>
          </v:rect>
        </w:pict>
      </w:r>
      <w:r>
        <w:rPr>
          <w:rFonts w:ascii="黑体" w:eastAsia="黑体" w:cs="黑体" w:hAnsiTheme="minorHAnsi"/>
          <w:b w:val="0"/>
          <w:bCs w:val="0"/>
          <w:kern w:val="0"/>
          <w:sz w:val="32"/>
          <w:szCs w:val="32"/>
        </w:rPr>
        <w:pict>
          <v:rect id="_x0000_s1098" o:spid="_x0000_s1098" o:spt="1" style="position:absolute;left:0pt;margin-left:9.45pt;margin-top:-42.95pt;height:38.5pt;width:261.3pt;z-index:251677696;v-text-anchor:middle;mso-width-relative:page;mso-height-relative:page;" fillcolor="#D9D9D9" filled="t" stroked="f" coordsize="21600,21600" o:gfxdata="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A7cdLa&#10;AAAADQEAAA8AAAAAAAAAAQAgAAAAIgAAAGRycy9kb3ducmV2LnhtbFBLAQIUABQAAAAIAIdO4kDU&#10;s0CFVwIAAIsEAAAOAAAAAAAAAAEAIAAAACkBAABkcnMvZTJvRG9jLnhtbFBLBQYAAAAABgAGAFkB&#10;AADyBQAAAAA=&#10;">
            <v:path/>
            <v:fill on="t" focussize="0,0"/>
            <v:stroke on="f" weight="2pt"/>
            <v:imagedata o:title=""/>
            <o:lock v:ext="edit"/>
          </v:rect>
        </w:pict>
      </w:r>
      <w:r>
        <w:rPr>
          <w:rFonts w:hint="eastAsia" w:ascii="黑体" w:eastAsia="黑体" w:cs="黑体" w:hAnsiTheme="minorHAnsi"/>
          <w:b w:val="0"/>
          <w:bCs w:val="0"/>
          <w:kern w:val="0"/>
          <w:sz w:val="32"/>
          <w:szCs w:val="32"/>
        </w:rPr>
        <w:t xml:space="preserve">    </w:t>
      </w:r>
    </w:p>
    <w:p>
      <w:pPr>
        <w:pStyle w:val="2"/>
        <w:spacing w:before="0" w:after="0" w:line="600" w:lineRule="exact"/>
        <w:jc w:val="left"/>
        <w:rPr>
          <w:rFonts w:cs="黑体" w:asciiTheme="minorEastAsia" w:hAnsiTheme="minorEastAsia" w:eastAsiaTheme="minorEastAsia"/>
          <w:b w:val="0"/>
          <w:bCs w:val="0"/>
          <w:kern w:val="0"/>
          <w:sz w:val="32"/>
          <w:szCs w:val="32"/>
        </w:rPr>
      </w:pPr>
      <w:r>
        <w:rPr>
          <w:rFonts w:hint="eastAsia" w:ascii="黑体" w:eastAsia="黑体" w:cs="黑体" w:hAnsiTheme="minorHAnsi"/>
          <w:b w:val="0"/>
          <w:bCs w:val="0"/>
          <w:kern w:val="0"/>
          <w:sz w:val="32"/>
          <w:szCs w:val="32"/>
        </w:rPr>
        <w:t xml:space="preserve">     </w:t>
      </w:r>
      <w:r>
        <w:rPr>
          <w:rFonts w:hint="eastAsia" w:cs="黑体" w:asciiTheme="minorEastAsia" w:hAnsiTheme="minorEastAsia" w:eastAsiaTheme="minorEastAsia"/>
          <w:b w:val="0"/>
          <w:bCs w:val="0"/>
          <w:kern w:val="0"/>
          <w:sz w:val="32"/>
          <w:szCs w:val="32"/>
        </w:rPr>
        <w:t>一、部门职责</w:t>
      </w:r>
    </w:p>
    <w:p>
      <w:pPr>
        <w:pStyle w:val="35"/>
        <w:spacing w:line="560" w:lineRule="exact"/>
        <w:ind w:left="0" w:firstLine="643" w:firstLineChars="200"/>
        <w:rPr>
          <w:rFonts w:ascii="仿宋" w:hAnsi="仿宋" w:eastAsia="仿宋" w:cs="仿宋_GB2312"/>
          <w:sz w:val="32"/>
          <w:szCs w:val="32"/>
        </w:rPr>
      </w:pPr>
      <w:r>
        <w:rPr>
          <w:rFonts w:hint="eastAsia" w:ascii="仿宋" w:hAnsi="仿宋" w:eastAsia="仿宋" w:cs="仿宋"/>
          <w:b/>
          <w:bCs/>
          <w:sz w:val="32"/>
          <w:szCs w:val="32"/>
        </w:rPr>
        <w:t xml:space="preserve"> </w:t>
      </w:r>
      <w:r>
        <w:rPr>
          <w:rFonts w:hint="eastAsia" w:ascii="仿宋" w:hAnsi="仿宋" w:eastAsia="仿宋" w:cs="仿宋_GB2312"/>
          <w:sz w:val="32"/>
          <w:szCs w:val="32"/>
        </w:rPr>
        <w:t>昌黎县人民法院是国家的审判机构、在县委的领导和上级法院的监督指导下，依法独立行使审 判权，对县人民代表大会及其常务委员会负责并报告工作。主要职责是：</w:t>
      </w:r>
    </w:p>
    <w:p>
      <w:pPr>
        <w:pStyle w:val="35"/>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 xml:space="preserve">（一）依法审判法律规定由基层人民法院管辖的或由上级人民法院指定本院管辖的刑事、民事、行政等第一审案件。 </w:t>
      </w:r>
    </w:p>
    <w:p>
      <w:pPr>
        <w:pStyle w:val="35"/>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（二）依法审判有关人民法院移送的刑事、民事、行政等第一审案件。</w:t>
      </w:r>
    </w:p>
    <w:p>
      <w:pPr>
        <w:pStyle w:val="35"/>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（三）审理不服本院生效裁判的各类申诉和再审申请、审判由上级法院指令本院再审以及由本院决定再审的案件。</w:t>
      </w:r>
    </w:p>
    <w:p>
      <w:pPr>
        <w:pStyle w:val="35"/>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（四）依法受理和审查各类告诉、申诉案件；申诉案件；接待、处理群众来信来访；对案件审理进行全程跟踪监督。</w:t>
      </w:r>
    </w:p>
    <w:p>
      <w:pPr>
        <w:pStyle w:val="35"/>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（五）依法办理发生法律效力的民事、行政案件判决和裁定的执行事项及刑事案件判决和裁定中有关财产补发的执行事项；办理法律规定由法院执行的非诉执行事项。</w:t>
      </w:r>
    </w:p>
    <w:p>
      <w:pPr>
        <w:pStyle w:val="35"/>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（六）指导基层民调组织的民事调解工作。</w:t>
      </w:r>
    </w:p>
    <w:p>
      <w:pPr>
        <w:pStyle w:val="35"/>
        <w:widowControl w:val="0"/>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（七）依法行使司法协助事项</w:t>
      </w:r>
    </w:p>
    <w:p>
      <w:pPr>
        <w:pStyle w:val="35"/>
        <w:widowControl w:val="0"/>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（八）办理行使司法协助事项</w:t>
      </w:r>
    </w:p>
    <w:p>
      <w:pPr>
        <w:pStyle w:val="35"/>
        <w:widowControl w:val="0"/>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（九）负责审判工作的调查研究、经验总结，向相关机关提出司法建议。</w:t>
      </w:r>
    </w:p>
    <w:p>
      <w:pPr>
        <w:pStyle w:val="35"/>
        <w:widowControl w:val="0"/>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（十）对本院法官和其他工作人员进行思想政治教育、组织专业培训；依权管理法官和其他工作人员；协助县主管理全院机构设置、人员编制工作。</w:t>
      </w:r>
    </w:p>
    <w:p>
      <w:pPr>
        <w:pStyle w:val="35"/>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（十一）管理人民法院的有关经费和物资装备</w:t>
      </w:r>
    </w:p>
    <w:p>
      <w:pPr>
        <w:pStyle w:val="35"/>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（十二）在审判工作中宣传法制，教育公民忠于社会主义祖国，自觉遵守宪法、法律和社会公德。</w:t>
      </w:r>
    </w:p>
    <w:p>
      <w:pPr>
        <w:pStyle w:val="35"/>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（十三）警卫法庭，押解人犯，送达法律文书；维护本机关工作秩序；协助上级法院死刑执行工作。</w:t>
      </w:r>
    </w:p>
    <w:p>
      <w:pPr>
        <w:pStyle w:val="2"/>
        <w:spacing w:before="0" w:after="0" w:line="560" w:lineRule="exact"/>
        <w:ind w:firstLine="640" w:firstLineChars="200"/>
        <w:rPr>
          <w:rFonts w:cs="黑体" w:asciiTheme="minorEastAsia" w:hAnsiTheme="minorEastAsia" w:eastAsiaTheme="minorEastAsia"/>
          <w:b w:val="0"/>
          <w:bCs w:val="0"/>
          <w:kern w:val="0"/>
          <w:sz w:val="32"/>
          <w:szCs w:val="32"/>
        </w:rPr>
      </w:pPr>
      <w:r>
        <w:rPr>
          <w:rFonts w:hint="eastAsia" w:cs="黑体" w:asciiTheme="minorEastAsia" w:hAnsiTheme="minorEastAsia" w:eastAsiaTheme="minorEastAsia"/>
          <w:b w:val="0"/>
          <w:bCs w:val="0"/>
          <w:kern w:val="0"/>
          <w:sz w:val="32"/>
          <w:szCs w:val="32"/>
        </w:rPr>
        <w:t>二、机构设置</w:t>
      </w:r>
    </w:p>
    <w:p>
      <w:pPr>
        <w:pStyle w:val="35"/>
        <w:spacing w:line="560" w:lineRule="exact"/>
        <w:ind w:left="0" w:firstLine="640" w:firstLineChars="200"/>
        <w:rPr>
          <w:rFonts w:ascii="仿宋" w:hAnsi="仿宋" w:eastAsia="仿宋" w:cs="仿宋_GB2312"/>
          <w:sz w:val="32"/>
          <w:szCs w:val="32"/>
        </w:rPr>
      </w:pPr>
      <w:r>
        <w:rPr>
          <w:rFonts w:hint="eastAsia" w:ascii="仿宋" w:hAnsi="仿宋" w:eastAsia="仿宋" w:cs="ArialUnicodeMS"/>
          <w:sz w:val="32"/>
          <w:szCs w:val="32"/>
        </w:rPr>
        <w:t>从决算编报单位构成看，纳入2018 年度本部门决算汇编范围的独立核算单位（以下简称“单位”）共 1个，</w:t>
      </w:r>
      <w:r>
        <w:rPr>
          <w:rFonts w:hint="eastAsia" w:ascii="仿宋" w:hAnsi="仿宋" w:eastAsia="仿宋" w:cs="仿宋_GB2312"/>
          <w:sz w:val="32"/>
          <w:szCs w:val="32"/>
        </w:rPr>
        <w:t>昌黎县人民法院机关内设23个职能机购。1、办公室2、政治处3、立案庭4、刑事审判庭5、民事审判第一庭6、民事审判第二庭7、民事审判第三庭8、行政审判庭</w:t>
      </w:r>
      <w:r>
        <w:rPr>
          <w:rFonts w:hint="eastAsia" w:ascii="仿宋" w:hAnsi="仿宋" w:eastAsia="仿宋" w:cs="宋体"/>
          <w:sz w:val="32"/>
          <w:szCs w:val="32"/>
        </w:rPr>
        <w:t>9</w:t>
      </w:r>
      <w:r>
        <w:rPr>
          <w:rFonts w:hint="eastAsia" w:ascii="仿宋" w:hAnsi="仿宋" w:eastAsia="仿宋" w:cs="仿宋_GB2312"/>
          <w:sz w:val="32"/>
          <w:szCs w:val="32"/>
        </w:rPr>
        <w:t>、审判工作管理办公室10、研究室11、法警大队12、计划财务装备管理科13、交通法庭14、执行局15、安山法庭16、靖安法庭17、新集法庭18、泥井法庭1</w:t>
      </w:r>
      <w:r>
        <w:rPr>
          <w:rFonts w:hint="eastAsia" w:ascii="仿宋" w:hAnsi="仿宋" w:eastAsia="仿宋" w:cs="宋体"/>
          <w:sz w:val="32"/>
          <w:szCs w:val="32"/>
        </w:rPr>
        <w:t>9</w:t>
      </w:r>
      <w:r>
        <w:rPr>
          <w:rFonts w:hint="eastAsia" w:ascii="仿宋" w:hAnsi="仿宋" w:eastAsia="仿宋" w:cs="仿宋_GB2312"/>
          <w:sz w:val="32"/>
          <w:szCs w:val="32"/>
        </w:rPr>
        <w:t xml:space="preserve">9、大蒲河法庭20、刘台法庭21、执行二庭22、立案二庭23、监察室. </w:t>
      </w:r>
    </w:p>
    <w:p>
      <w:pPr>
        <w:pStyle w:val="35"/>
        <w:spacing w:line="560" w:lineRule="exact"/>
        <w:ind w:left="0" w:firstLine="640" w:firstLineChars="200"/>
        <w:rPr>
          <w:rFonts w:ascii="仿宋" w:hAnsi="仿宋" w:eastAsia="仿宋" w:cs="仿宋_GB2312"/>
          <w:sz w:val="32"/>
          <w:szCs w:val="32"/>
        </w:rPr>
      </w:pPr>
      <w:r>
        <w:rPr>
          <w:rFonts w:hint="eastAsia" w:ascii="仿宋" w:hAnsi="仿宋" w:eastAsia="仿宋" w:cs="仿宋_GB2312"/>
          <w:sz w:val="32"/>
          <w:szCs w:val="32"/>
        </w:rPr>
        <w:t>我单位为一级预算单位，无下级预算单位。单位性质为行政单位，经费形式为拨款。</w:t>
      </w:r>
    </w:p>
    <w:p>
      <w:pPr>
        <w:pStyle w:val="35"/>
        <w:spacing w:line="560" w:lineRule="exact"/>
        <w:ind w:left="0" w:firstLine="640" w:firstLineChars="200"/>
        <w:rPr>
          <w:rFonts w:ascii="仿宋" w:hAnsi="仿宋" w:eastAsia="仿宋" w:cs="仿宋_GB2312"/>
          <w:sz w:val="32"/>
          <w:szCs w:val="32"/>
        </w:rPr>
      </w:pPr>
    </w:p>
    <w:tbl>
      <w:tblPr>
        <w:tblStyle w:val="13"/>
        <w:tblW w:w="906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42"/>
        <w:gridCol w:w="2835"/>
        <w:gridCol w:w="2718"/>
        <w:gridCol w:w="226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0" w:hRule="exact"/>
        </w:trPr>
        <w:tc>
          <w:tcPr>
            <w:tcW w:w="1242" w:type="dxa"/>
            <w:vAlign w:val="center"/>
          </w:tcPr>
          <w:p>
            <w:pPr>
              <w:pStyle w:val="35"/>
              <w:spacing w:line="560" w:lineRule="exact"/>
              <w:ind w:left="0"/>
              <w:jc w:val="center"/>
              <w:rPr>
                <w:rFonts w:ascii="仿宋" w:hAnsi="仿宋" w:eastAsia="仿宋" w:cs="仿宋_GB2312"/>
                <w:b/>
                <w:sz w:val="24"/>
                <w:szCs w:val="24"/>
              </w:rPr>
            </w:pPr>
            <w:r>
              <w:rPr>
                <w:rFonts w:hint="eastAsia" w:ascii="仿宋" w:hAnsi="仿宋" w:eastAsia="仿宋" w:cs="仿宋_GB2312"/>
                <w:b/>
                <w:sz w:val="24"/>
                <w:szCs w:val="24"/>
              </w:rPr>
              <w:t>序号</w:t>
            </w:r>
          </w:p>
        </w:tc>
        <w:tc>
          <w:tcPr>
            <w:tcW w:w="2835" w:type="dxa"/>
            <w:vAlign w:val="center"/>
          </w:tcPr>
          <w:p>
            <w:pPr>
              <w:pStyle w:val="35"/>
              <w:spacing w:line="560" w:lineRule="exact"/>
              <w:ind w:left="0"/>
              <w:jc w:val="center"/>
              <w:rPr>
                <w:rFonts w:ascii="仿宋" w:hAnsi="仿宋" w:eastAsia="仿宋" w:cs="仿宋_GB2312"/>
                <w:b/>
                <w:sz w:val="24"/>
                <w:szCs w:val="24"/>
              </w:rPr>
            </w:pPr>
            <w:r>
              <w:rPr>
                <w:rFonts w:hint="eastAsia" w:ascii="仿宋" w:hAnsi="仿宋" w:eastAsia="仿宋" w:cs="仿宋_GB2312"/>
                <w:b/>
                <w:sz w:val="24"/>
                <w:szCs w:val="24"/>
              </w:rPr>
              <w:t>单位名称</w:t>
            </w:r>
          </w:p>
        </w:tc>
        <w:tc>
          <w:tcPr>
            <w:tcW w:w="2718" w:type="dxa"/>
            <w:vAlign w:val="center"/>
          </w:tcPr>
          <w:p>
            <w:pPr>
              <w:pStyle w:val="35"/>
              <w:spacing w:line="560" w:lineRule="exact"/>
              <w:ind w:left="0"/>
              <w:jc w:val="center"/>
              <w:rPr>
                <w:rFonts w:ascii="仿宋" w:hAnsi="仿宋" w:eastAsia="仿宋" w:cs="仿宋_GB2312"/>
                <w:b/>
                <w:sz w:val="24"/>
                <w:szCs w:val="24"/>
              </w:rPr>
            </w:pPr>
            <w:r>
              <w:rPr>
                <w:rFonts w:hint="eastAsia" w:ascii="仿宋" w:hAnsi="仿宋" w:eastAsia="仿宋" w:cs="仿宋_GB2312"/>
                <w:b/>
                <w:sz w:val="24"/>
                <w:szCs w:val="24"/>
              </w:rPr>
              <w:t>单位基本性质</w:t>
            </w:r>
          </w:p>
        </w:tc>
        <w:tc>
          <w:tcPr>
            <w:tcW w:w="2265" w:type="dxa"/>
            <w:vAlign w:val="center"/>
          </w:tcPr>
          <w:p>
            <w:pPr>
              <w:pStyle w:val="35"/>
              <w:spacing w:line="560" w:lineRule="exact"/>
              <w:ind w:left="0"/>
              <w:jc w:val="center"/>
              <w:rPr>
                <w:rFonts w:ascii="仿宋" w:hAnsi="仿宋" w:eastAsia="仿宋" w:cs="仿宋_GB2312"/>
                <w:b/>
                <w:sz w:val="24"/>
                <w:szCs w:val="24"/>
              </w:rPr>
            </w:pPr>
            <w:r>
              <w:rPr>
                <w:rFonts w:hint="eastAsia" w:ascii="仿宋" w:hAnsi="仿宋" w:eastAsia="仿宋" w:cs="仿宋_GB2312"/>
                <w:b/>
                <w:sz w:val="24"/>
                <w:szCs w:val="24"/>
              </w:rPr>
              <w:t>经费形式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0" w:hRule="exact"/>
        </w:trPr>
        <w:tc>
          <w:tcPr>
            <w:tcW w:w="1242" w:type="dxa"/>
            <w:vAlign w:val="center"/>
          </w:tcPr>
          <w:p>
            <w:pPr>
              <w:pStyle w:val="35"/>
              <w:spacing w:line="560" w:lineRule="exact"/>
              <w:ind w:left="0"/>
              <w:jc w:val="center"/>
              <w:rPr>
                <w:rFonts w:ascii="仿宋" w:hAnsi="仿宋" w:eastAsia="仿宋" w:cs="仿宋_GB2312"/>
                <w:sz w:val="24"/>
                <w:szCs w:val="24"/>
              </w:rPr>
            </w:pPr>
            <w:r>
              <w:rPr>
                <w:rFonts w:hint="eastAsia" w:ascii="仿宋" w:hAnsi="仿宋" w:eastAsia="仿宋" w:cs="仿宋_GB2312"/>
                <w:sz w:val="24"/>
                <w:szCs w:val="24"/>
              </w:rPr>
              <w:t>1</w:t>
            </w:r>
          </w:p>
        </w:tc>
        <w:tc>
          <w:tcPr>
            <w:tcW w:w="2835" w:type="dxa"/>
            <w:vAlign w:val="center"/>
          </w:tcPr>
          <w:p>
            <w:pPr>
              <w:pStyle w:val="35"/>
              <w:spacing w:line="560" w:lineRule="exact"/>
              <w:ind w:left="0"/>
              <w:jc w:val="center"/>
              <w:rPr>
                <w:rFonts w:ascii="仿宋" w:hAnsi="仿宋" w:eastAsia="仿宋" w:cs="仿宋_GB2312"/>
                <w:sz w:val="24"/>
                <w:szCs w:val="24"/>
              </w:rPr>
            </w:pPr>
            <w:r>
              <w:rPr>
                <w:rFonts w:hint="eastAsia" w:ascii="仿宋" w:hAnsi="仿宋" w:eastAsia="仿宋" w:cs="仿宋_GB2312"/>
                <w:sz w:val="24"/>
                <w:szCs w:val="24"/>
              </w:rPr>
              <w:t>昌黎县人民法院</w:t>
            </w:r>
          </w:p>
        </w:tc>
        <w:tc>
          <w:tcPr>
            <w:tcW w:w="2718" w:type="dxa"/>
            <w:vAlign w:val="center"/>
          </w:tcPr>
          <w:p>
            <w:pPr>
              <w:pStyle w:val="35"/>
              <w:spacing w:line="560" w:lineRule="exact"/>
              <w:ind w:left="0"/>
              <w:jc w:val="center"/>
              <w:rPr>
                <w:rFonts w:ascii="仿宋" w:hAnsi="仿宋" w:eastAsia="仿宋" w:cs="仿宋_GB2312"/>
                <w:sz w:val="24"/>
                <w:szCs w:val="24"/>
              </w:rPr>
            </w:pPr>
            <w:r>
              <w:rPr>
                <w:rFonts w:hint="eastAsia" w:ascii="仿宋" w:hAnsi="仿宋" w:eastAsia="仿宋" w:cs="仿宋_GB2312"/>
                <w:sz w:val="24"/>
                <w:szCs w:val="24"/>
              </w:rPr>
              <w:t>行政单位</w:t>
            </w:r>
          </w:p>
        </w:tc>
        <w:tc>
          <w:tcPr>
            <w:tcW w:w="2265" w:type="dxa"/>
            <w:vAlign w:val="center"/>
          </w:tcPr>
          <w:p>
            <w:pPr>
              <w:pStyle w:val="35"/>
              <w:spacing w:line="560" w:lineRule="exact"/>
              <w:ind w:left="0"/>
              <w:jc w:val="center"/>
              <w:rPr>
                <w:rFonts w:ascii="仿宋" w:hAnsi="仿宋" w:eastAsia="仿宋" w:cs="仿宋_GB2312"/>
                <w:sz w:val="24"/>
                <w:szCs w:val="24"/>
              </w:rPr>
            </w:pPr>
            <w:r>
              <w:rPr>
                <w:rFonts w:hint="eastAsia" w:ascii="仿宋" w:hAnsi="仿宋" w:eastAsia="仿宋" w:cs="仿宋_GB2312"/>
                <w:sz w:val="24"/>
                <w:szCs w:val="24"/>
              </w:rPr>
              <w:t>财政拨款</w:t>
            </w:r>
          </w:p>
        </w:tc>
      </w:tr>
    </w:tbl>
    <w:p>
      <w:pPr>
        <w:widowControl/>
        <w:spacing w:line="560" w:lineRule="exact"/>
        <w:rPr>
          <w:rFonts w:ascii="黑体" w:eastAsia="黑体" w:cs="MS-UIGothic,Bold" w:hAnsiTheme="minorHAnsi"/>
          <w:b/>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2336" behindDoc="1" locked="0" layoutInCell="1" allowOverlap="1">
            <wp:simplePos x="0" y="0"/>
            <wp:positionH relativeFrom="column">
              <wp:posOffset>-1016635</wp:posOffset>
            </wp:positionH>
            <wp:positionV relativeFrom="paragraph">
              <wp:posOffset>-1322705</wp:posOffset>
            </wp:positionV>
            <wp:extent cx="7550150" cy="10680065"/>
            <wp:effectExtent l="0" t="0" r="0" b="6985"/>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0331"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85" o:spid="_x0000_s1085" o:spt="202" type="#_x0000_t202" style="position:absolute;left:0pt;margin-left:-77.15pt;margin-top:107.15pt;height:195pt;width:596.2pt;z-index:251667456;mso-width-relative:page;mso-height-relative:page;" filled="f" stroked="f" coordsize="21600,21600" o:gfxdata="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W&#10;J1WS3AAAAA0BAAAPAAAAAAAAAAEAIAAAACIAAABkcnMvZG93bnJldi54bWxQSwECFAAUAAAACACH&#10;TuJAeFO0f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p>
      <w:pPr>
        <w:widowControl/>
        <w:spacing w:after="0" w:line="560" w:lineRule="exact"/>
        <w:jc w:val="left"/>
        <w:rPr>
          <w:rFonts w:ascii="仿宋_GB2312" w:eastAsia="仿宋_GB2312" w:hAnsiTheme="majorEastAsia"/>
          <w:b/>
          <w:sz w:val="28"/>
          <w:szCs w:val="28"/>
          <w:highlight w:val="yellow"/>
        </w:rPr>
      </w:pPr>
      <w:r>
        <w:pict>
          <v:rect id="_x0000_s1083" o:spid="_x0000_s1083" o:spt="1" style="position:absolute;left:0pt;margin-left:1.8pt;margin-top:-38.15pt;height:35.3pt;width:294.55pt;z-index:251675648;v-text-anchor:middle;mso-width-relative:page;mso-height-relative:page;" fillcolor="#003F77" filled="t" stroked="t" coordsize="21600,21600" o:gfxdata="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Uy/gn2QAAAAoBAAAPAAAAAAAAAAEAIAAAACIAAABkcnMvZG93bnJldi54bWxQSwECFAAU&#10;AAAACACHTuJAg5lZ4tQCAABABgAADgAAAAAAAAABACAAAAAoAQAAZHJzL2Uyb0RvYy54bWxQSwUG&#10;AAAAAAYABgBZAQAAbgYAAAAA&#10;">
            <v:path/>
            <v:fill type="gradient" on="t" color2="#0072CE" colors="0f #003F77;32768f #005FAD;65536f #0072CE" angle="180" focus="100%" focussize="0f,0f" rotate="t"/>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w:t>
                  </w:r>
                  <w:r>
                    <w:rPr>
                      <w:rFonts w:ascii="楷体" w:hAnsi="楷体" w:eastAsia="楷体" w:cs="楷体"/>
                      <w:b/>
                      <w:bCs/>
                      <w:color w:val="FDEFBE"/>
                      <w:kern w:val="0"/>
                      <w:sz w:val="32"/>
                      <w:szCs w:val="32"/>
                    </w:rPr>
                    <w:t>报表</w:t>
                  </w:r>
                </w:p>
                <w:p>
                  <w:pPr>
                    <w:jc w:val="center"/>
                  </w:pPr>
                </w:p>
              </w:txbxContent>
            </v:textbox>
          </v:rect>
        </w:pict>
      </w:r>
      <w:r>
        <w:pict>
          <v:rect id="_x0000_s1084" o:spid="_x0000_s1084" o:spt="1" style="position:absolute;left:0pt;margin-left:0.25pt;margin-top:-47.9pt;height:36.9pt;width:303.65pt;z-index:251673600;v-text-anchor:middle;mso-width-relative:page;mso-height-relative:page;" fillcolor="#D9D9D9" filled="t" stroked="f" coordsize="21600,21600" o:gfxdata="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pX0ldkAAAAL&#10;AQAADwAAAAAAAAABACAAAAAiAAAAZHJzL2Rvd25yZXYueG1sUEsBAhQAFAAAAAgAh07iQJGVV5lU&#10;AgAAigQAAA4AAAAAAAAAAQAgAAAAKAEAAGRycy9lMm9Eb2MueG1sUEsFBgAAAAAGAAYAWQEAAO4F&#10;AAAAAA==&#10;">
            <v:path/>
            <v:fill on="t" focussize="0,0"/>
            <v:stroke on="f" weight="2pt"/>
            <v:imagedata o:title=""/>
            <o:lock v:ext="edit"/>
          </v:rect>
        </w:pict>
      </w:r>
    </w:p>
    <w:p>
      <w:pPr>
        <w:widowControl/>
        <w:spacing w:after="0" w:line="560" w:lineRule="exact"/>
        <w:jc w:val="left"/>
        <w:rPr>
          <w:rFonts w:ascii="仿宋" w:hAnsi="仿宋" w:eastAsia="仿宋" w:cs="黑体"/>
          <w:b/>
          <w:color w:val="000000"/>
          <w:kern w:val="0"/>
          <w:sz w:val="32"/>
          <w:szCs w:val="32"/>
        </w:rPr>
      </w:pPr>
      <w:r>
        <w:rPr>
          <w:rFonts w:hint="eastAsia" w:ascii="仿宋_GB2312" w:eastAsia="仿宋_GB2312" w:hAnsiTheme="majorEastAsia"/>
          <w:b/>
          <w:sz w:val="28"/>
          <w:szCs w:val="28"/>
        </w:rPr>
        <w:t xml:space="preserve">    </w:t>
      </w:r>
      <w:r>
        <w:rPr>
          <w:rFonts w:hint="eastAsia" w:ascii="仿宋" w:hAnsi="仿宋" w:eastAsia="仿宋" w:cs="黑体"/>
          <w:b/>
          <w:color w:val="000000"/>
          <w:kern w:val="0"/>
          <w:sz w:val="32"/>
          <w:szCs w:val="32"/>
        </w:rPr>
        <w:t>部门决算</w:t>
      </w:r>
      <w:r>
        <w:rPr>
          <w:rFonts w:ascii="仿宋" w:hAnsi="仿宋" w:eastAsia="仿宋" w:cs="黑体"/>
          <w:b/>
          <w:color w:val="000000"/>
          <w:kern w:val="0"/>
          <w:sz w:val="32"/>
          <w:szCs w:val="32"/>
        </w:rPr>
        <w:t>公开表另附文件</w:t>
      </w:r>
    </w:p>
    <w:p>
      <w:pPr>
        <w:widowControl/>
        <w:spacing w:after="0" w:line="560" w:lineRule="exact"/>
        <w:jc w:val="left"/>
        <w:rPr>
          <w:rFonts w:ascii="仿宋" w:hAnsi="仿宋" w:eastAsia="仿宋"/>
          <w:b/>
          <w:sz w:val="28"/>
          <w:szCs w:val="28"/>
          <w:highlight w:val="yellow"/>
        </w:rPr>
      </w:pPr>
      <w:r>
        <w:rPr>
          <w:rFonts w:hint="eastAsia" w:ascii="仿宋" w:hAnsi="仿宋" w:eastAsia="仿宋" w:cs="黑体"/>
          <w:color w:val="000000"/>
          <w:kern w:val="0"/>
          <w:sz w:val="32"/>
          <w:szCs w:val="32"/>
        </w:rPr>
        <w:t xml:space="preserve">    详见：昌黎县人民法院2018年度部门决算公开报表（10张）</w:t>
      </w:r>
    </w:p>
    <w:p>
      <w:pPr>
        <w:widowControl/>
        <w:spacing w:after="0" w:line="440" w:lineRule="exact"/>
        <w:textAlignment w:val="center"/>
        <w:rPr>
          <w:rFonts w:ascii="仿宋" w:hAnsi="仿宋" w:eastAsia="仿宋" w:cs="黑体"/>
          <w:color w:val="000000"/>
          <w:kern w:val="0"/>
          <w:sz w:val="32"/>
          <w:szCs w:val="32"/>
        </w:rPr>
      </w:pP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pPr>
    </w:p>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-1008380</wp:posOffset>
            </wp:positionH>
            <wp:positionV relativeFrom="paragraph">
              <wp:posOffset>-1341120</wp:posOffset>
            </wp:positionV>
            <wp:extent cx="7550150" cy="10680065"/>
            <wp:effectExtent l="0" t="0" r="0" b="762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0150" cy="10679808"/>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68480;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仿宋" w:hAnsi="仿宋" w:eastAsia="仿宋"/>
          <w:b w:val="0"/>
          <w:bCs w:val="0"/>
        </w:rPr>
      </w:pPr>
      <w:r>
        <w:rPr>
          <w:rFonts w:ascii="仿宋" w:hAnsi="仿宋" w:eastAsia="仿宋"/>
          <w:b w:val="0"/>
          <w:bCs w:val="0"/>
        </w:rPr>
        <w:pict>
          <v:rect id="_x0000_s1101" o:spid="_x0000_s1101" o:spt="1" style="position:absolute;left:0pt;margin-left:5.7pt;margin-top:-40.15pt;height:36.9pt;width:305.8pt;z-index:251679744;v-text-anchor:middle;mso-width-relative:page;mso-height-relative:page;" fillcolor="#D9D9D9" filled="t" stroked="f" coordsize="21600,21600" o:gfxdata="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pX0ldkAAAAL&#10;AQAADwAAAAAAAAABACAAAAAiAAAAZHJzL2Rvd25yZXYueG1sUEsBAhQAFAAAAAgAh07iQJGVV5lU&#10;AgAAigQAAA4AAAAAAAAAAQAgAAAAKAEAAGRycy9lMm9Eb2MueG1sUEsFBgAAAAAGAAYAWQEAAO4F&#10;AAAAAA==&#10;">
            <v:path/>
            <v:fill on="t" focussize="0,0"/>
            <v:stroke on="f" weight="2pt"/>
            <v:imagedata o:title=""/>
            <o:lock v:ext="edit"/>
          </v:rect>
        </w:pict>
      </w:r>
      <w:r>
        <w:rPr>
          <w:rFonts w:ascii="仿宋" w:hAnsi="仿宋" w:eastAsia="仿宋"/>
          <w:b w:val="0"/>
          <w:bCs w:val="0"/>
        </w:rPr>
        <w:pict>
          <v:rect id="_x0000_s1102" o:spid="_x0000_s1102" o:spt="1" style="position:absolute;left:0pt;margin-left:6.4pt;margin-top:-30.4pt;height:35.3pt;width:296.65pt;z-index:251680768;v-text-anchor:middle;mso-width-relative:page;mso-height-relative:page;" fillcolor="#003F77" filled="t" stroked="t" coordsize="21600,21600" o:gfxdata="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Uy/gn2QAAAAoBAAAPAAAAAAAAAAEAIAAAACIAAABkcnMvZG93bnJldi54bWxQSwECFAAU&#10;AAAACACHTuJAg5lZ4tQCAABABgAADgAAAAAAAAABACAAAAAoAQAAZHJzL2Uyb0RvYy54bWxQSwUG&#10;AAAAAAYABgBZAQAAbgYAAAAA&#10;">
            <v:path/>
            <v:fill type="gradient" on="t" color2="#0072CE" colors="0f #003F77;32768f #005FAD;65536f #0072CE" angle="180" focus="100%" focussize="0f,0f" rotate="t"/>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pict>
      </w:r>
    </w:p>
    <w:p>
      <w:pPr>
        <w:pStyle w:val="3"/>
        <w:spacing w:before="0" w:after="0" w:line="560" w:lineRule="exact"/>
        <w:ind w:firstLine="640" w:firstLineChars="200"/>
        <w:rPr>
          <w:rFonts w:asciiTheme="minorEastAsia" w:hAnsiTheme="minorEastAsia" w:eastAsiaTheme="minorEastAsia"/>
          <w:b w:val="0"/>
          <w:bCs w:val="0"/>
        </w:rPr>
      </w:pPr>
      <w:r>
        <w:rPr>
          <w:rFonts w:hint="eastAsia" w:asciiTheme="minorEastAsia" w:hAnsiTheme="minorEastAsia" w:eastAsiaTheme="minorEastAsia"/>
          <w:b w:val="0"/>
          <w:bCs w:val="0"/>
        </w:rPr>
        <w:t>一、收入</w:t>
      </w:r>
      <w:r>
        <w:rPr>
          <w:rFonts w:hint="eastAsia" w:cs="黑体" w:asciiTheme="minorEastAsia" w:hAnsiTheme="minorEastAsia" w:eastAsiaTheme="minorEastAsia"/>
          <w:b w:val="0"/>
          <w:bCs w:val="0"/>
          <w:kern w:val="0"/>
        </w:rPr>
        <w:t>支出</w:t>
      </w:r>
      <w:r>
        <w:rPr>
          <w:rFonts w:hint="eastAsia" w:asciiTheme="minorEastAsia" w:hAnsiTheme="minorEastAsia" w:eastAsiaTheme="minorEastAsia"/>
          <w:b w:val="0"/>
          <w:bCs w:val="0"/>
        </w:rPr>
        <w:t>决算总体情况说明</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w:t>
      </w:r>
      <w:r>
        <w:rPr>
          <w:rFonts w:ascii="仿宋" w:hAnsi="仿宋" w:eastAsia="仿宋" w:cs="Calibri"/>
          <w:sz w:val="32"/>
          <w:szCs w:val="32"/>
        </w:rPr>
        <w:t>8</w:t>
      </w:r>
      <w:r>
        <w:rPr>
          <w:rFonts w:hint="eastAsia" w:ascii="仿宋" w:hAnsi="仿宋" w:eastAsia="仿宋" w:cs="DengXian-Regular"/>
          <w:sz w:val="32"/>
          <w:szCs w:val="32"/>
        </w:rPr>
        <w:t>年度决算收入总计2542.65万元，本年支出总计2542.65万元，年初结转和结余2</w:t>
      </w:r>
      <w:r>
        <w:rPr>
          <w:rFonts w:hint="eastAsia" w:ascii="仿宋" w:hAnsi="仿宋" w:eastAsia="仿宋" w:cs="宋体"/>
          <w:sz w:val="32"/>
          <w:szCs w:val="32"/>
        </w:rPr>
        <w:t>95.15</w:t>
      </w:r>
      <w:r>
        <w:rPr>
          <w:rFonts w:hint="eastAsia" w:ascii="仿宋" w:hAnsi="仿宋" w:eastAsia="仿宋" w:cs="DengXian-Regular"/>
          <w:sz w:val="32"/>
          <w:szCs w:val="32"/>
        </w:rPr>
        <w:t>万元，年</w:t>
      </w:r>
      <w:r>
        <w:rPr>
          <w:rFonts w:hint="eastAsia" w:ascii="仿宋" w:hAnsi="仿宋" w:eastAsia="仿宋" w:cs="微软雅黑"/>
          <w:sz w:val="32"/>
          <w:szCs w:val="32"/>
        </w:rPr>
        <w:t>末</w:t>
      </w:r>
      <w:r>
        <w:rPr>
          <w:rFonts w:hint="eastAsia" w:ascii="仿宋" w:hAnsi="仿宋" w:eastAsia="仿宋" w:cs="___WRD_EMBED_SUB_47"/>
          <w:sz w:val="32"/>
          <w:szCs w:val="32"/>
        </w:rPr>
        <w:t>结转和结余</w:t>
      </w:r>
      <w:r>
        <w:rPr>
          <w:rFonts w:hint="eastAsia" w:ascii="仿宋" w:hAnsi="仿宋" w:eastAsia="仿宋" w:cs="DengXian-Regular"/>
          <w:sz w:val="32"/>
          <w:szCs w:val="32"/>
        </w:rPr>
        <w:t>486.43万元。</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w:t>
      </w:r>
      <w:r>
        <w:rPr>
          <w:rFonts w:ascii="仿宋" w:hAnsi="仿宋" w:eastAsia="仿宋" w:cs="Calibri"/>
          <w:sz w:val="32"/>
          <w:szCs w:val="32"/>
        </w:rPr>
        <w:t>8</w:t>
      </w:r>
      <w:r>
        <w:rPr>
          <w:rFonts w:hint="eastAsia" w:ascii="仿宋" w:hAnsi="仿宋" w:eastAsia="仿宋" w:cs="DengXian-Regular"/>
          <w:sz w:val="32"/>
          <w:szCs w:val="32"/>
        </w:rPr>
        <w:t>年度收入与年初预算对比增加229.36万元，原因是：人员经费、项目经费增加（本年初人员增加、中央转移支付资金增加）；与201</w:t>
      </w:r>
      <w:r>
        <w:rPr>
          <w:rFonts w:ascii="仿宋" w:hAnsi="仿宋" w:eastAsia="仿宋" w:cs="DengXian-Regular"/>
          <w:sz w:val="32"/>
          <w:szCs w:val="32"/>
        </w:rPr>
        <w:t>7</w:t>
      </w:r>
      <w:r>
        <w:rPr>
          <w:rFonts w:hint="eastAsia" w:ascii="仿宋" w:hAnsi="仿宋" w:eastAsia="仿宋" w:cs="DengXian-Regular"/>
          <w:sz w:val="32"/>
          <w:szCs w:val="32"/>
        </w:rPr>
        <w:t>年度收入相比，增加416.28万元，原因是：人员经费增加及项目经费拨款增加。</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2018年度本年支出合计与年初预算对比增加229.36万元，原因是：人员经费、项目经费增加（本年初人员增加、中央转移支付资金增加）；与2017年度支出相比，增加416.28万元，原因是：人员经费增加及项目经费拨款增加。</w:t>
      </w:r>
    </w:p>
    <w:p>
      <w:pPr>
        <w:pStyle w:val="3"/>
        <w:spacing w:before="0" w:after="0" w:line="560" w:lineRule="exact"/>
        <w:ind w:firstLine="640" w:firstLineChars="200"/>
        <w:rPr>
          <w:rFonts w:asciiTheme="minorEastAsia" w:hAnsiTheme="minorEastAsia" w:eastAsiaTheme="minorEastAsia"/>
          <w:b w:val="0"/>
          <w:bCs w:val="0"/>
        </w:rPr>
      </w:pPr>
      <w:r>
        <w:rPr>
          <w:rFonts w:hint="eastAsia" w:asciiTheme="minorEastAsia" w:hAnsiTheme="minorEastAsia" w:eastAsiaTheme="minorEastAsia"/>
          <w:b w:val="0"/>
          <w:bCs w:val="0"/>
        </w:rPr>
        <w:t>二、收入决算情况说明</w:t>
      </w:r>
    </w:p>
    <w:p>
      <w:pPr>
        <w:adjustRightInd w:val="0"/>
        <w:snapToGrid w:val="0"/>
        <w:spacing w:after="0" w:line="560" w:lineRule="exact"/>
        <w:ind w:firstLine="640" w:firstLineChars="200"/>
        <w:rPr>
          <w:rFonts w:ascii="仿宋" w:hAnsi="仿宋" w:eastAsia="仿宋" w:cs="DengXian-Regular"/>
          <w:i/>
          <w:sz w:val="32"/>
          <w:szCs w:val="32"/>
        </w:rPr>
      </w:pPr>
      <w:r>
        <w:rPr>
          <w:rFonts w:hint="eastAsia" w:ascii="仿宋" w:hAnsi="仿宋" w:eastAsia="仿宋" w:cs="DengXian-Regular"/>
          <w:sz w:val="32"/>
          <w:szCs w:val="32"/>
        </w:rPr>
        <w:t>本部门2018年度本年收入合计2247.49万元，其中：财政拨款收入2247.49万元，占100%；如图所示：</w:t>
      </w:r>
      <w:r>
        <w:rPr>
          <w:rFonts w:ascii="仿宋" w:hAnsi="仿宋" w:eastAsia="仿宋" w:cs="DengXian-Regular"/>
          <w:i/>
          <w:sz w:val="32"/>
          <w:szCs w:val="32"/>
        </w:rPr>
        <w:t xml:space="preserve"> </w:t>
      </w:r>
    </w:p>
    <w:p>
      <w:pPr>
        <w:pStyle w:val="3"/>
        <w:spacing w:before="0" w:after="0" w:line="560" w:lineRule="exact"/>
        <w:ind w:firstLine="200"/>
        <w:rPr>
          <w:rFonts w:asciiTheme="minorEastAsia" w:hAnsiTheme="minorEastAsia" w:eastAsiaTheme="minorEastAsia"/>
          <w:b w:val="0"/>
          <w:bCs w:val="0"/>
        </w:rPr>
      </w:pPr>
      <w:r>
        <w:rPr>
          <w:rFonts w:hint="eastAsia" w:ascii="仿宋" w:hAnsi="仿宋" w:eastAsia="仿宋" w:cs="DengXian-Regular"/>
          <w:b w:val="0"/>
          <w:bCs w:val="0"/>
        </w:rPr>
        <w:t xml:space="preserve">   </w:t>
      </w:r>
      <w:r>
        <w:rPr>
          <w:rFonts w:hint="eastAsia" w:asciiTheme="minorEastAsia" w:hAnsiTheme="minorEastAsia" w:eastAsiaTheme="minorEastAsia"/>
          <w:b w:val="0"/>
          <w:bCs w:val="0"/>
        </w:rPr>
        <w:t>三、支出决算情况说明</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 xml:space="preserve">本部门2018年度本年支出合计2056.22万元，其中：基本支出1660.93万元，占80.78%；项目支出395.29万元，占19.22%； </w:t>
      </w:r>
    </w:p>
    <w:p>
      <w:pPr>
        <w:adjustRightInd w:val="0"/>
        <w:snapToGrid w:val="0"/>
        <w:spacing w:after="0" w:line="560" w:lineRule="exact"/>
        <w:ind w:firstLine="640" w:firstLineChars="200"/>
        <w:rPr>
          <w:rFonts w:cs="DengXian-Regular" w:asciiTheme="minorEastAsia" w:hAnsiTheme="minorEastAsia" w:eastAsiaTheme="minorEastAsia"/>
          <w:sz w:val="32"/>
          <w:szCs w:val="32"/>
        </w:rPr>
      </w:pPr>
      <w:r>
        <w:rPr>
          <w:rFonts w:hint="eastAsia" w:cs="黑体" w:asciiTheme="minorEastAsia" w:hAnsiTheme="minorEastAsia" w:eastAsiaTheme="minorEastAsia"/>
          <w:kern w:val="0"/>
          <w:sz w:val="32"/>
          <w:szCs w:val="32"/>
        </w:rPr>
        <w:t>四、财政</w:t>
      </w:r>
      <w:r>
        <w:rPr>
          <w:rFonts w:hint="eastAsia" w:asciiTheme="minorEastAsia" w:hAnsiTheme="minorEastAsia" w:eastAsiaTheme="minorEastAsia"/>
          <w:sz w:val="32"/>
          <w:szCs w:val="32"/>
        </w:rPr>
        <w:t>拨款收入支出决算情况说明</w:t>
      </w:r>
    </w:p>
    <w:p>
      <w:pPr>
        <w:spacing w:after="0" w:line="560" w:lineRule="exact"/>
        <w:ind w:firstLine="640" w:firstLineChars="200"/>
        <w:rPr>
          <w:rFonts w:ascii="仿宋" w:hAnsi="仿宋" w:eastAsia="仿宋"/>
          <w:sz w:val="32"/>
          <w:szCs w:val="32"/>
        </w:rPr>
      </w:pPr>
      <w:r>
        <w:rPr>
          <w:rFonts w:hint="eastAsia" w:ascii="仿宋" w:hAnsi="仿宋" w:eastAsia="仿宋"/>
          <w:sz w:val="32"/>
          <w:szCs w:val="32"/>
        </w:rPr>
        <w:t>2018年度财政拨款收入决算总计2542.65万元，财政拨款支出决算总计2542.65万元，年初财政拨款结转和结余295.15万元，年末结转和结余486.43万元。</w:t>
      </w:r>
    </w:p>
    <w:p>
      <w:pPr>
        <w:spacing w:after="0" w:line="560" w:lineRule="atLeast"/>
        <w:ind w:firstLine="640" w:firstLineChars="200"/>
        <w:rPr>
          <w:rFonts w:ascii="楷体" w:hAnsi="楷体" w:eastAsia="楷体"/>
          <w:sz w:val="32"/>
          <w:szCs w:val="32"/>
        </w:rPr>
      </w:pPr>
      <w:r>
        <w:rPr>
          <w:rFonts w:hint="eastAsia" w:ascii="楷体" w:hAnsi="楷体" w:eastAsia="楷体"/>
          <w:sz w:val="32"/>
          <w:szCs w:val="32"/>
        </w:rPr>
        <w:t>（一）</w:t>
      </w:r>
      <w:r>
        <w:rPr>
          <w:rFonts w:hint="eastAsia" w:ascii="楷体" w:hAnsi="楷体" w:eastAsia="楷体" w:cs="DengXian-Bold"/>
          <w:bCs/>
          <w:sz w:val="32"/>
          <w:szCs w:val="32"/>
        </w:rPr>
        <w:t>财政拨款收支与2017 年度决算对比情况</w:t>
      </w:r>
    </w:p>
    <w:p>
      <w:pPr>
        <w:adjustRightInd w:val="0"/>
        <w:snapToGrid w:val="0"/>
        <w:spacing w:after="0" w:line="560" w:lineRule="atLeast"/>
        <w:ind w:firstLine="640" w:firstLineChars="200"/>
        <w:rPr>
          <w:rFonts w:ascii="仿宋" w:hAnsi="仿宋" w:eastAsia="仿宋" w:cs="DengXian-Regular"/>
          <w:sz w:val="32"/>
          <w:szCs w:val="32"/>
        </w:rPr>
      </w:pPr>
      <w:r>
        <w:rPr>
          <w:rFonts w:hint="eastAsia" w:ascii="仿宋" w:hAnsi="仿宋" w:eastAsia="仿宋" w:cs="DengXian-Bold"/>
          <w:bCs/>
          <w:sz w:val="32"/>
          <w:szCs w:val="32"/>
        </w:rPr>
        <w:t>本</w:t>
      </w:r>
      <w:r>
        <w:rPr>
          <w:rFonts w:hint="eastAsia" w:ascii="仿宋" w:hAnsi="仿宋" w:eastAsia="仿宋" w:cs="宋体"/>
          <w:bCs/>
          <w:sz w:val="32"/>
          <w:szCs w:val="32"/>
        </w:rPr>
        <w:t>部门</w:t>
      </w:r>
      <w:r>
        <w:rPr>
          <w:rFonts w:hint="eastAsia" w:ascii="仿宋" w:hAnsi="仿宋" w:eastAsia="仿宋" w:cs="DengXian-Bold"/>
          <w:bCs/>
          <w:sz w:val="32"/>
          <w:szCs w:val="32"/>
        </w:rPr>
        <w:t>201</w:t>
      </w:r>
      <w:r>
        <w:rPr>
          <w:rFonts w:hint="eastAsia" w:ascii="仿宋" w:hAnsi="仿宋" w:eastAsia="仿宋" w:cs="宋体"/>
          <w:bCs/>
          <w:sz w:val="32"/>
          <w:szCs w:val="32"/>
        </w:rPr>
        <w:t>8年形成的财政拨款收支均为一般公共预算财政拨款，其中一般公共预算财政拨款本年收入</w:t>
      </w:r>
      <w:r>
        <w:rPr>
          <w:rFonts w:hint="eastAsia" w:ascii="仿宋" w:hAnsi="仿宋" w:eastAsia="仿宋" w:cs="DengXian-Regular"/>
          <w:sz w:val="32"/>
          <w:szCs w:val="32"/>
        </w:rPr>
        <w:t>2247.49万元，比2017年度增加241.9万元，</w:t>
      </w:r>
      <w:r>
        <w:rPr>
          <w:rFonts w:hint="eastAsia" w:ascii="仿宋" w:hAnsi="仿宋" w:eastAsia="仿宋" w:cs="宋体"/>
          <w:bCs/>
          <w:sz w:val="32"/>
          <w:szCs w:val="32"/>
        </w:rPr>
        <w:t>增长12.06%，主要是</w:t>
      </w:r>
      <w:r>
        <w:rPr>
          <w:rFonts w:hint="eastAsia" w:ascii="仿宋" w:hAnsi="仿宋" w:eastAsia="仿宋" w:cs="DengXian-Regular"/>
          <w:sz w:val="32"/>
          <w:szCs w:val="32"/>
        </w:rPr>
        <w:t>人员经费、项目经费拨款增加。本年支出2056.22万元，比2017年度增加225.05万元，增加12.29%，主要是人员经费增加及项目经费拨款增加。</w:t>
      </w:r>
    </w:p>
    <w:p>
      <w:pPr>
        <w:spacing w:after="0" w:line="560" w:lineRule="atLeast"/>
        <w:ind w:firstLine="640" w:firstLineChars="200"/>
        <w:rPr>
          <w:rFonts w:ascii="楷体" w:hAnsi="楷体" w:eastAsia="楷体" w:cs="DengXian-Bold"/>
          <w:bCs/>
          <w:sz w:val="32"/>
          <w:szCs w:val="32"/>
        </w:rPr>
      </w:pPr>
      <w:r>
        <w:rPr>
          <w:rFonts w:hint="eastAsia" w:ascii="楷体" w:hAnsi="楷体" w:eastAsia="楷体" w:cs="DengXian-Bold"/>
          <w:bCs/>
          <w:sz w:val="32"/>
          <w:szCs w:val="32"/>
        </w:rPr>
        <w:t>（二）财政拨款收支与年初预算数对比情况</w:t>
      </w:r>
    </w:p>
    <w:p>
      <w:pPr>
        <w:adjustRightInd w:val="0"/>
        <w:snapToGrid w:val="0"/>
        <w:spacing w:after="0" w:line="560" w:lineRule="atLeas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一般公共预算财政拨款收入2247.49万元，完成年初预算的97.16%,比年初预算减少65.8万元，决算数小于预算数，主要原因是日常公用经费减少；本年支出2056.22万元，完成年初预算的88.89%,比年初预算减少257.07万元，决算数小于预算数主要原因是一、日常公用经费减少。二、年末法院建设补助资金未能支出（该项目年末未完成）。</w:t>
      </w:r>
      <w:r>
        <w:rPr>
          <w:rFonts w:ascii="仿宋" w:hAnsi="仿宋" w:eastAsia="仿宋"/>
          <w:sz w:val="32"/>
          <w:szCs w:val="32"/>
        </w:rPr>
        <w:pict>
          <v:group id="_x0000_s1058" o:spid="_x0000_s1058" o:spt="203" style="position:absolute;left:0pt;margin-left:45.95pt;margin-top:0.4pt;height:208.2pt;width:343.1pt;z-index:-251641856;mso-width-relative:page;mso-height-relative:page;" coordorigin="5233,225704" coordsize="6344,-2147483648"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">
            <o:lock v:ext="edit"/>
            <v:shape id="图片 6" o:spid="_x0000_s1060" o:spt="75" type="#_x0000_t75" style="position:absolute;left:5470;top:225704;height:3353;width:5870;"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path/>
              <v:fill on="f" focussize="0,0"/>
              <v:stroke on="f" joinstyle="miter"/>
              <v:imagedata r:id="rId9" o:title=""/>
              <o:lock v:ext="edit" aspectratio="t"/>
            </v:shape>
            <v:shape id="文本框 28" o:spid="_x0000_s1059" o:spt="202" type="#_x0000_t202" style="position:absolute;left:5233;top:228834;height:720;width:6345;"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v:group>
        </w:pict>
      </w:r>
    </w:p>
    <w:p>
      <w:pPr>
        <w:adjustRightInd w:val="0"/>
        <w:snapToGrid w:val="0"/>
        <w:spacing w:after="0" w:line="560" w:lineRule="atLeast"/>
        <w:ind w:firstLine="480" w:firstLineChars="150"/>
        <w:rPr>
          <w:rFonts w:ascii="楷体" w:hAnsi="楷体" w:eastAsia="楷体" w:cs="DengXian-Bold"/>
          <w:bCs/>
          <w:sz w:val="32"/>
          <w:szCs w:val="32"/>
        </w:rPr>
      </w:pPr>
      <w:r>
        <w:rPr>
          <w:rFonts w:hint="eastAsia" w:ascii="楷体" w:hAnsi="楷体" w:eastAsia="楷体" w:cs="DengXian-Bold"/>
          <w:bCs/>
          <w:sz w:val="32"/>
          <w:szCs w:val="32"/>
        </w:rPr>
        <w:t>（三）财政拨款支出决算结构情况</w:t>
      </w:r>
    </w:p>
    <w:p>
      <w:pPr>
        <w:adjustRightInd w:val="0"/>
        <w:snapToGrid w:val="0"/>
        <w:spacing w:after="0" w:line="560" w:lineRule="atLeast"/>
        <w:ind w:firstLine="640" w:firstLineChars="200"/>
        <w:rPr>
          <w:rFonts w:ascii="仿宋" w:hAnsi="仿宋" w:eastAsia="仿宋" w:cs="DengXian-Regular"/>
          <w:sz w:val="32"/>
          <w:szCs w:val="32"/>
        </w:rPr>
      </w:pPr>
      <w:r>
        <w:rPr>
          <w:rFonts w:hint="eastAsia" w:ascii="仿宋" w:hAnsi="仿宋" w:eastAsia="仿宋" w:cs="DengXian-Regular"/>
          <w:sz w:val="32"/>
          <w:szCs w:val="32"/>
        </w:rPr>
        <w:t>2018 年度财政拨款支出2056.22万元，主要用于以下方面公共安全支出1966.92万元，占95.66%；医疗卫生与计划生育支出45.43万元，占2.21%，住房保障支出43.86万元，占2.13%。</w:t>
      </w:r>
    </w:p>
    <w:p>
      <w:pPr>
        <w:adjustRightInd w:val="0"/>
        <w:snapToGrid w:val="0"/>
        <w:spacing w:after="0" w:line="560" w:lineRule="atLeast"/>
        <w:ind w:firstLine="480" w:firstLineChars="150"/>
        <w:rPr>
          <w:rFonts w:ascii="楷体" w:hAnsi="楷体" w:eastAsia="楷体" w:cs="DengXian-Regular"/>
          <w:sz w:val="32"/>
          <w:szCs w:val="32"/>
        </w:rPr>
      </w:pPr>
      <w:r>
        <w:rPr>
          <w:rFonts w:hint="eastAsia" w:ascii="楷体" w:hAnsi="楷体" w:eastAsia="楷体" w:cs="DengXian-Bold"/>
          <w:bCs/>
          <w:sz w:val="32"/>
          <w:szCs w:val="32"/>
        </w:rPr>
        <w:t>（四）一般公共预算财政拨款基本支出决算情况说明</w:t>
      </w:r>
    </w:p>
    <w:p>
      <w:pPr>
        <w:adjustRightInd w:val="0"/>
        <w:snapToGrid w:val="0"/>
        <w:spacing w:after="0" w:line="560" w:lineRule="atLeast"/>
        <w:ind w:firstLine="640" w:firstLineChars="200"/>
        <w:rPr>
          <w:rFonts w:ascii="仿宋" w:hAnsi="仿宋" w:eastAsia="仿宋" w:cs="DengXian-Regular"/>
          <w:sz w:val="32"/>
          <w:szCs w:val="32"/>
        </w:rPr>
      </w:pPr>
      <w:r>
        <w:rPr>
          <w:rFonts w:hint="eastAsia" w:ascii="仿宋" w:hAnsi="仿宋" w:eastAsia="仿宋" w:cs="DengXian-Regular"/>
          <w:sz w:val="32"/>
          <w:szCs w:val="32"/>
        </w:rPr>
        <w:t>2018 年度一般公共预算财政拨款基本支出1660.93万元，其中：人员经费1225.18万元，主要包括基本工资、津贴补贴、奖金、伙食补助费、机关事业单位基本养老保险缴费、职业年金缴费、职工基本医疗保险缴费、其他社会保障缴费、住房公积金、医疗费、其他工资福利支出、离休费、退休费、抚恤金、生活补助、奖励金、其他对个人和家庭的补助支出；公用经费435.75万元，主要包括办公费、手续费、水费、电费、邮电费、取暖费、差旅费、维修（护）费、租赁费、公务接待费、被装购置费、劳务费、委托业务费、工会经费、公务用车运行维护费、其他交通费用、其他商品和服务支出、办公设备购置。</w:t>
      </w:r>
    </w:p>
    <w:p>
      <w:pPr>
        <w:adjustRightInd w:val="0"/>
        <w:snapToGrid w:val="0"/>
        <w:spacing w:after="0" w:line="560" w:lineRule="atLeast"/>
        <w:ind w:firstLine="640" w:firstLineChars="200"/>
        <w:rPr>
          <w:rFonts w:cs="DengXian-Regular" w:asciiTheme="minorEastAsia" w:hAnsiTheme="minorEastAsia" w:eastAsiaTheme="minorEastAsia"/>
          <w:sz w:val="32"/>
          <w:szCs w:val="32"/>
          <w:highlight w:val="yellow"/>
        </w:rPr>
      </w:pPr>
      <w:r>
        <w:rPr>
          <w:rFonts w:hint="eastAsia" w:asciiTheme="minorEastAsia" w:hAnsiTheme="minorEastAsia" w:eastAsiaTheme="minorEastAsia"/>
          <w:sz w:val="32"/>
          <w:szCs w:val="32"/>
        </w:rPr>
        <w:t>五、一般公共预算财政拨款“三公” 经费支出决算情况说明</w:t>
      </w:r>
    </w:p>
    <w:p>
      <w:pPr>
        <w:adjustRightInd w:val="0"/>
        <w:snapToGrid w:val="0"/>
        <w:spacing w:after="0" w:line="560" w:lineRule="atLeas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 “三公”经费支出共计12.85万元，</w:t>
      </w:r>
      <w:r>
        <w:rPr>
          <w:rFonts w:hint="eastAsia" w:ascii="仿宋" w:hAnsi="仿宋" w:eastAsia="仿宋" w:cs="DengXian-Regular"/>
          <w:bCs/>
          <w:sz w:val="32"/>
          <w:szCs w:val="32"/>
        </w:rPr>
        <w:t>较年初预算减少4.4万元，降低25.51%，</w:t>
      </w:r>
      <w:r>
        <w:rPr>
          <w:rFonts w:hint="eastAsia" w:ascii="仿宋" w:hAnsi="仿宋" w:eastAsia="仿宋" w:cs="DengXian-Regular"/>
          <w:sz w:val="32"/>
          <w:szCs w:val="32"/>
        </w:rPr>
        <w:t>主要是：认真贯彻落实中央八项规定精神和厉行节约要求，从严控制“三公”经费开支，全年实际支出比预算有所节约。较2017年度决算数减少3.29万元，降低20.1%，原因是严格执行中央八项规定和省市关于厉行勤俭节约的有关规定，规范审批程序，严格把关，控制三公经费开支。具体情况如下：</w:t>
      </w:r>
      <w:r>
        <w:rPr>
          <w:rFonts w:ascii="仿宋" w:hAnsi="仿宋" w:eastAsia="仿宋" w:cs="DengXian-Regular"/>
          <w:sz w:val="32"/>
          <w:szCs w:val="32"/>
        </w:rPr>
        <w:t xml:space="preserve"> </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楷体" w:hAnsi="楷体" w:eastAsia="楷体" w:cs="DengXian-Bold"/>
          <w:bCs/>
          <w:sz w:val="32"/>
          <w:szCs w:val="32"/>
        </w:rPr>
        <w:t>（一）因公出国（境）费支出0万元。</w:t>
      </w:r>
      <w:r>
        <w:rPr>
          <w:rFonts w:hint="eastAsia" w:ascii="仿宋" w:hAnsi="仿宋" w:eastAsia="仿宋" w:cs="DengXian-Regular"/>
          <w:sz w:val="32"/>
          <w:szCs w:val="32"/>
        </w:rPr>
        <w:t>本部门2018年度未发生因公出国（境）费支出，与年初预算持平。2</w:t>
      </w:r>
      <w:r>
        <w:rPr>
          <w:rFonts w:ascii="仿宋" w:hAnsi="仿宋" w:eastAsia="仿宋" w:cs="DengXian-Regular"/>
          <w:sz w:val="32"/>
          <w:szCs w:val="32"/>
        </w:rPr>
        <w:t>017</w:t>
      </w:r>
      <w:r>
        <w:rPr>
          <w:rFonts w:hint="eastAsia" w:ascii="仿宋" w:hAnsi="仿宋" w:eastAsia="仿宋" w:cs="DengXian-Regular"/>
          <w:sz w:val="32"/>
          <w:szCs w:val="32"/>
        </w:rPr>
        <w:t>年度未发生因公出国（境）费支出。</w:t>
      </w:r>
    </w:p>
    <w:p>
      <w:pPr>
        <w:adjustRightInd w:val="0"/>
        <w:snapToGrid w:val="0"/>
        <w:spacing w:after="0" w:line="560" w:lineRule="atLeast"/>
        <w:ind w:firstLine="640" w:firstLineChars="200"/>
        <w:rPr>
          <w:rFonts w:ascii="楷体" w:hAnsi="楷体" w:eastAsia="楷体" w:cs="DengXian-Bold"/>
          <w:bCs/>
          <w:sz w:val="32"/>
          <w:szCs w:val="32"/>
        </w:rPr>
      </w:pPr>
      <w:r>
        <w:rPr>
          <w:rFonts w:hint="eastAsia" w:ascii="楷体" w:hAnsi="楷体" w:eastAsia="楷体" w:cs="DengXian-Bold"/>
          <w:bCs/>
          <w:sz w:val="32"/>
          <w:szCs w:val="32"/>
        </w:rPr>
        <w:t>（二）公务用车购置及运行维护费支出2</w:t>
      </w:r>
      <w:r>
        <w:rPr>
          <w:rFonts w:hint="eastAsia" w:ascii="楷体" w:hAnsi="楷体" w:eastAsia="楷体" w:cs="宋体"/>
          <w:bCs/>
          <w:sz w:val="32"/>
          <w:szCs w:val="32"/>
        </w:rPr>
        <w:t>.01</w:t>
      </w:r>
      <w:r>
        <w:rPr>
          <w:rFonts w:hint="eastAsia" w:ascii="楷体" w:hAnsi="楷体" w:eastAsia="楷体" w:cs="DengXian-Bold"/>
          <w:bCs/>
          <w:sz w:val="32"/>
          <w:szCs w:val="32"/>
        </w:rPr>
        <w:t>万元。</w:t>
      </w:r>
      <w:r>
        <w:rPr>
          <w:rFonts w:hint="eastAsia" w:ascii="仿宋" w:hAnsi="仿宋" w:eastAsia="仿宋" w:cs="DengXian-Regular"/>
          <w:sz w:val="32"/>
          <w:szCs w:val="32"/>
        </w:rPr>
        <w:t>本部门2018年度公务用车购置及运行维护费较年初预算减少2.24万元，降低52.71%,主要是严格控制公务用车运行经费开支。</w:t>
      </w:r>
      <w:r>
        <w:rPr>
          <w:rFonts w:hint="eastAsia" w:ascii="仿宋" w:hAnsi="仿宋" w:eastAsia="仿宋" w:cs="DengXian-Regular"/>
          <w:sz w:val="32"/>
          <w:szCs w:val="32"/>
          <w:u w:val="single"/>
        </w:rPr>
        <w:t>较</w:t>
      </w:r>
      <w:r>
        <w:rPr>
          <w:rFonts w:hint="eastAsia" w:ascii="仿宋" w:hAnsi="仿宋" w:eastAsia="仿宋" w:cs="DengXian-Regular"/>
          <w:sz w:val="32"/>
          <w:szCs w:val="32"/>
        </w:rPr>
        <w:t>2</w:t>
      </w:r>
      <w:r>
        <w:rPr>
          <w:rFonts w:ascii="仿宋" w:hAnsi="仿宋" w:eastAsia="仿宋" w:cs="DengXian-Regular"/>
          <w:sz w:val="32"/>
          <w:szCs w:val="32"/>
        </w:rPr>
        <w:t>017</w:t>
      </w:r>
      <w:r>
        <w:rPr>
          <w:rFonts w:hint="eastAsia" w:ascii="仿宋" w:hAnsi="仿宋" w:eastAsia="仿宋" w:cs="DengXian-Regular"/>
          <w:sz w:val="32"/>
          <w:szCs w:val="32"/>
        </w:rPr>
        <w:t>年决算减少1.78万元，降低46.97%,主要是严格控制公务用车运行经费开支。其中：</w:t>
      </w:r>
    </w:p>
    <w:p>
      <w:pPr>
        <w:adjustRightInd w:val="0"/>
        <w:snapToGrid w:val="0"/>
        <w:spacing w:after="0" w:line="560" w:lineRule="exact"/>
        <w:ind w:firstLine="640" w:firstLineChars="200"/>
        <w:rPr>
          <w:rFonts w:ascii="仿宋" w:hAnsi="仿宋" w:eastAsia="仿宋" w:cs="DengXian-Regular"/>
          <w:color w:val="000000" w:themeColor="text1"/>
          <w:sz w:val="32"/>
          <w:szCs w:val="32"/>
        </w:rPr>
      </w:pPr>
      <w:r>
        <w:rPr>
          <w:rFonts w:hint="eastAsia" w:ascii="仿宋" w:hAnsi="仿宋" w:eastAsia="仿宋" w:cs="DengXian-Regular"/>
          <w:sz w:val="32"/>
          <w:szCs w:val="32"/>
        </w:rPr>
        <w:t>公务用车购置费：本部门2018年度无公务用车购置费支出，与预算持平。2017年度无公务用车购置费支出。</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公务用车运行维护费：本部门2018年度单位公务用车保有量1辆。公车运行维护费支出较年初预算减少2.24万元，降低52.71%,主要是严格控制公务用车运行费开支。较2</w:t>
      </w:r>
      <w:r>
        <w:rPr>
          <w:rFonts w:ascii="仿宋" w:hAnsi="仿宋" w:eastAsia="仿宋" w:cs="DengXian-Regular"/>
          <w:sz w:val="32"/>
          <w:szCs w:val="32"/>
        </w:rPr>
        <w:t>017</w:t>
      </w:r>
      <w:r>
        <w:rPr>
          <w:rFonts w:hint="eastAsia" w:ascii="仿宋" w:hAnsi="仿宋" w:eastAsia="仿宋" w:cs="DengXian-Regular"/>
          <w:sz w:val="32"/>
          <w:szCs w:val="32"/>
        </w:rPr>
        <w:t>年度决算减少1.78万元，降低46.97%,主要是严格控制公务用车运行经费开支。</w:t>
      </w:r>
    </w:p>
    <w:p>
      <w:pPr>
        <w:adjustRightInd w:val="0"/>
        <w:snapToGrid w:val="0"/>
        <w:spacing w:after="0" w:line="560" w:lineRule="exact"/>
        <w:ind w:firstLine="640" w:firstLineChars="200"/>
        <w:rPr>
          <w:rFonts w:ascii="楷体" w:hAnsi="楷体" w:eastAsia="楷体" w:cs="DengXian-Bold"/>
          <w:bCs/>
          <w:sz w:val="32"/>
          <w:szCs w:val="32"/>
        </w:rPr>
      </w:pPr>
      <w:r>
        <w:rPr>
          <w:rFonts w:hint="eastAsia" w:ascii="楷体" w:hAnsi="楷体" w:eastAsia="楷体" w:cs="DengXian-Bold"/>
          <w:bCs/>
          <w:sz w:val="32"/>
          <w:szCs w:val="32"/>
        </w:rPr>
        <w:t>（三）公务接待费支出10</w:t>
      </w:r>
      <w:r>
        <w:rPr>
          <w:rFonts w:hint="eastAsia" w:ascii="楷体" w:hAnsi="楷体" w:eastAsia="楷体" w:cs="宋体"/>
          <w:bCs/>
          <w:sz w:val="32"/>
          <w:szCs w:val="32"/>
        </w:rPr>
        <w:t>.84</w:t>
      </w:r>
      <w:r>
        <w:rPr>
          <w:rFonts w:hint="eastAsia" w:ascii="楷体" w:hAnsi="楷体" w:eastAsia="楷体" w:cs="DengXian-Bold"/>
          <w:bCs/>
          <w:sz w:val="32"/>
          <w:szCs w:val="32"/>
        </w:rPr>
        <w:t>万元。</w:t>
      </w:r>
      <w:r>
        <w:rPr>
          <w:rFonts w:hint="eastAsia" w:ascii="仿宋" w:hAnsi="仿宋" w:eastAsia="仿宋" w:cs="DengXian-Regular"/>
          <w:sz w:val="32"/>
          <w:szCs w:val="32"/>
        </w:rPr>
        <w:t>本部门2018年度公务接待共205批次、2169人次。公务接待费支出较年初预算减少2.16万元，降低16.62%,主要是认真贯彻落实中央八项规定精神和厉行节约要求，严格控制公务接待费支出，接待批次较少，招待人数减少。较2</w:t>
      </w:r>
      <w:r>
        <w:rPr>
          <w:rFonts w:ascii="仿宋" w:hAnsi="仿宋" w:eastAsia="仿宋" w:cs="DengXian-Regular"/>
          <w:sz w:val="32"/>
          <w:szCs w:val="32"/>
        </w:rPr>
        <w:t>017</w:t>
      </w:r>
      <w:r>
        <w:rPr>
          <w:rFonts w:hint="eastAsia" w:ascii="仿宋" w:hAnsi="仿宋" w:eastAsia="仿宋" w:cs="DengXian-Regular"/>
          <w:sz w:val="32"/>
          <w:szCs w:val="32"/>
        </w:rPr>
        <w:t>年决算减少15000万元，降低12.15%,主要是本年度接待批次减少276次，人数减少299人。</w:t>
      </w:r>
    </w:p>
    <w:p>
      <w:pPr>
        <w:adjustRightInd w:val="0"/>
        <w:snapToGrid w:val="0"/>
        <w:spacing w:after="0" w:line="560" w:lineRule="exact"/>
        <w:ind w:firstLine="640" w:firstLineChars="200"/>
        <w:rPr>
          <w:rFonts w:asciiTheme="minorEastAsia" w:hAnsiTheme="minorEastAsia" w:eastAsiaTheme="minorEastAsia"/>
          <w:sz w:val="32"/>
          <w:szCs w:val="32"/>
        </w:rPr>
      </w:pPr>
      <w:r>
        <w:rPr>
          <w:rFonts w:hint="eastAsia" w:asciiTheme="minorEastAsia" w:hAnsiTheme="minorEastAsia" w:eastAsiaTheme="minorEastAsia"/>
          <w:sz w:val="32"/>
          <w:szCs w:val="32"/>
        </w:rPr>
        <w:t>六、预算绩效情况说明</w:t>
      </w:r>
    </w:p>
    <w:p>
      <w:pPr>
        <w:adjustRightInd w:val="0"/>
        <w:snapToGrid w:val="0"/>
        <w:spacing w:after="0" w:line="560" w:lineRule="exact"/>
        <w:ind w:firstLine="640" w:firstLineChars="200"/>
        <w:rPr>
          <w:rFonts w:ascii="楷体" w:hAnsi="楷体" w:eastAsia="楷体" w:cs="DengXian-Regular"/>
          <w:sz w:val="32"/>
          <w:szCs w:val="32"/>
        </w:rPr>
      </w:pPr>
      <w:r>
        <w:rPr>
          <w:rFonts w:hint="eastAsia" w:ascii="楷体" w:hAnsi="楷体" w:eastAsia="楷体" w:cs="DengXian-Regular"/>
          <w:sz w:val="32"/>
          <w:szCs w:val="32"/>
        </w:rPr>
        <w:t>（一）预算绩效管理工作开展情况</w:t>
      </w:r>
    </w:p>
    <w:p>
      <w:pPr>
        <w:adjustRightInd w:val="0"/>
        <w:snapToGrid w:val="0"/>
        <w:spacing w:after="0" w:line="560" w:lineRule="exact"/>
        <w:ind w:firstLine="640" w:firstLineChars="200"/>
        <w:rPr>
          <w:rFonts w:ascii="仿宋" w:hAnsi="仿宋" w:eastAsia="仿宋" w:cs="DengXian-Regular"/>
          <w:sz w:val="32"/>
          <w:szCs w:val="32"/>
        </w:rPr>
      </w:pPr>
      <w:r>
        <w:rPr>
          <w:rFonts w:ascii="仿宋" w:hAnsi="仿宋" w:eastAsia="仿宋" w:cs="DengXian-Regular"/>
          <w:sz w:val="32"/>
          <w:szCs w:val="32"/>
        </w:rPr>
        <w:t>本部门紧紧围绕</w:t>
      </w:r>
      <w:r>
        <w:rPr>
          <w:rFonts w:hint="eastAsia" w:ascii="仿宋" w:hAnsi="仿宋" w:eastAsia="仿宋" w:cs="DengXian-Regular"/>
          <w:sz w:val="32"/>
          <w:szCs w:val="32"/>
        </w:rPr>
        <w:t>县</w:t>
      </w:r>
      <w:r>
        <w:rPr>
          <w:rFonts w:ascii="仿宋" w:hAnsi="仿宋" w:eastAsia="仿宋" w:cs="DengXian-Regular"/>
          <w:sz w:val="32"/>
          <w:szCs w:val="32"/>
        </w:rPr>
        <w:t>委、</w:t>
      </w:r>
      <w:r>
        <w:rPr>
          <w:rFonts w:hint="eastAsia" w:ascii="仿宋" w:hAnsi="仿宋" w:eastAsia="仿宋" w:cs="DengXian-Regular"/>
          <w:sz w:val="32"/>
          <w:szCs w:val="32"/>
        </w:rPr>
        <w:t>县</w:t>
      </w:r>
      <w:r>
        <w:rPr>
          <w:rFonts w:ascii="仿宋" w:hAnsi="仿宋" w:eastAsia="仿宋" w:cs="DengXian-Regular"/>
          <w:sz w:val="32"/>
          <w:szCs w:val="32"/>
        </w:rPr>
        <w:t>政府决策部署，针对工作遇到的新情况、新问题，合理编制预算，安排相关专项资金</w:t>
      </w:r>
      <w:r>
        <w:rPr>
          <w:rFonts w:hint="eastAsia" w:ascii="仿宋" w:hAnsi="仿宋" w:eastAsia="仿宋" w:cs="DengXian-Regular"/>
          <w:sz w:val="32"/>
          <w:szCs w:val="32"/>
        </w:rPr>
        <w:t>。</w:t>
      </w:r>
      <w:r>
        <w:rPr>
          <w:rFonts w:ascii="仿宋" w:hAnsi="仿宋" w:eastAsia="仿宋" w:cs="DengXian-Regular"/>
          <w:sz w:val="32"/>
          <w:szCs w:val="32"/>
        </w:rPr>
        <w:t>为尽快落实</w:t>
      </w:r>
      <w:r>
        <w:rPr>
          <w:rFonts w:hint="eastAsia" w:ascii="仿宋" w:hAnsi="仿宋" w:eastAsia="仿宋" w:cs="DengXian-Regular"/>
          <w:sz w:val="32"/>
          <w:szCs w:val="32"/>
        </w:rPr>
        <w:t>县</w:t>
      </w:r>
      <w:r>
        <w:rPr>
          <w:rFonts w:ascii="仿宋" w:hAnsi="仿宋" w:eastAsia="仿宋" w:cs="DengXian-Regular"/>
          <w:sz w:val="32"/>
          <w:szCs w:val="32"/>
        </w:rPr>
        <w:t>级财政支出项目绩效评价工作，按照</w:t>
      </w:r>
      <w:r>
        <w:rPr>
          <w:rFonts w:hint="eastAsia" w:ascii="仿宋" w:hAnsi="仿宋" w:eastAsia="仿宋" w:cs="DengXian-Regular"/>
          <w:sz w:val="32"/>
          <w:szCs w:val="32"/>
        </w:rPr>
        <w:t>市财政局部署和要求，依据市财政局《关于全面开展2019年市本级财政支出绩效评价工作的通知》（秦财办[2019]116号）文件和县财政局《</w:t>
      </w:r>
      <w:r>
        <w:rPr>
          <w:rFonts w:ascii="仿宋" w:hAnsi="仿宋" w:eastAsia="仿宋" w:cs="DengXian-Regular"/>
          <w:sz w:val="32"/>
          <w:szCs w:val="32"/>
        </w:rPr>
        <w:t>关于印发</w:t>
      </w:r>
      <w:r>
        <w:rPr>
          <w:rFonts w:hint="eastAsia" w:ascii="仿宋" w:hAnsi="仿宋" w:eastAsia="仿宋" w:cs="DengXian-Regular"/>
          <w:sz w:val="32"/>
          <w:szCs w:val="32"/>
        </w:rPr>
        <w:t>〈</w:t>
      </w:r>
      <w:r>
        <w:rPr>
          <w:rFonts w:ascii="仿宋" w:hAnsi="仿宋" w:eastAsia="仿宋" w:cs="DengXian-Regular"/>
          <w:sz w:val="32"/>
          <w:szCs w:val="32"/>
        </w:rPr>
        <w:t>昌黎县财政局关于开展2018年项目绩效自评</w:t>
      </w:r>
      <w:r>
        <w:rPr>
          <w:rFonts w:hint="eastAsia" w:ascii="仿宋" w:hAnsi="仿宋" w:eastAsia="仿宋" w:cs="DengXian-Regular"/>
          <w:sz w:val="32"/>
          <w:szCs w:val="32"/>
        </w:rPr>
        <w:t>〉</w:t>
      </w:r>
      <w:bookmarkStart w:id="0" w:name="_GoBack"/>
      <w:bookmarkEnd w:id="0"/>
      <w:r>
        <w:rPr>
          <w:rFonts w:ascii="仿宋" w:hAnsi="仿宋" w:eastAsia="仿宋" w:cs="DengXian-Regular"/>
          <w:sz w:val="32"/>
          <w:szCs w:val="32"/>
        </w:rPr>
        <w:t>的通知</w:t>
      </w:r>
      <w:r>
        <w:rPr>
          <w:rFonts w:hint="eastAsia" w:ascii="仿宋" w:hAnsi="仿宋" w:eastAsia="仿宋" w:cs="DengXian-Regular"/>
          <w:sz w:val="32"/>
          <w:szCs w:val="32"/>
        </w:rPr>
        <w:t>》（昌财预[2019]9号）文件</w:t>
      </w:r>
      <w:r>
        <w:rPr>
          <w:rFonts w:ascii="仿宋" w:hAnsi="仿宋" w:eastAsia="仿宋" w:cs="DengXian-Regular"/>
          <w:sz w:val="32"/>
          <w:szCs w:val="32"/>
        </w:rPr>
        <w:t>精神</w:t>
      </w:r>
      <w:r>
        <w:rPr>
          <w:rFonts w:hint="eastAsia" w:ascii="仿宋" w:hAnsi="仿宋" w:eastAsia="仿宋" w:cs="DengXian-Regular"/>
          <w:sz w:val="32"/>
          <w:szCs w:val="32"/>
        </w:rPr>
        <w:t>，</w:t>
      </w:r>
      <w:r>
        <w:rPr>
          <w:rFonts w:ascii="仿宋" w:hAnsi="仿宋" w:eastAsia="仿宋" w:cs="DengXian-Regular"/>
          <w:sz w:val="32"/>
          <w:szCs w:val="32"/>
        </w:rPr>
        <w:t>首先召集有关人员认真学习和领会文件精神，部署绩效评价工作；其次，</w:t>
      </w:r>
      <w:r>
        <w:rPr>
          <w:rFonts w:hint="eastAsia" w:ascii="仿宋" w:hAnsi="仿宋" w:eastAsia="仿宋" w:cs="DengXian-Regular"/>
          <w:sz w:val="32"/>
          <w:szCs w:val="32"/>
        </w:rPr>
        <w:t>我部门</w:t>
      </w:r>
      <w:r>
        <w:rPr>
          <w:rFonts w:ascii="仿宋" w:hAnsi="仿宋" w:eastAsia="仿宋" w:cs="DengXian-Regular"/>
          <w:sz w:val="32"/>
          <w:szCs w:val="32"/>
        </w:rPr>
        <w:t>成立了以</w:t>
      </w:r>
      <w:r>
        <w:rPr>
          <w:rFonts w:hint="eastAsia" w:ascii="仿宋" w:hAnsi="仿宋" w:eastAsia="仿宋" w:cs="DengXian-Regular"/>
          <w:sz w:val="32"/>
          <w:szCs w:val="32"/>
        </w:rPr>
        <w:t>院长张勇武为组长，</w:t>
      </w:r>
      <w:r>
        <w:rPr>
          <w:rFonts w:ascii="仿宋" w:hAnsi="仿宋" w:eastAsia="仿宋" w:cs="DengXian-Regular"/>
          <w:sz w:val="32"/>
          <w:szCs w:val="32"/>
        </w:rPr>
        <w:t>主管</w:t>
      </w:r>
      <w:r>
        <w:rPr>
          <w:rFonts w:hint="eastAsia" w:ascii="仿宋" w:hAnsi="仿宋" w:eastAsia="仿宋" w:cs="DengXian-Regular"/>
          <w:sz w:val="32"/>
          <w:szCs w:val="32"/>
        </w:rPr>
        <w:t>副副院长田金江</w:t>
      </w:r>
      <w:r>
        <w:rPr>
          <w:rFonts w:ascii="仿宋" w:hAnsi="仿宋" w:eastAsia="仿宋" w:cs="DengXian-Regular"/>
          <w:sz w:val="32"/>
          <w:szCs w:val="32"/>
        </w:rPr>
        <w:t>为</w:t>
      </w:r>
      <w:r>
        <w:rPr>
          <w:rFonts w:hint="eastAsia" w:ascii="仿宋" w:hAnsi="仿宋" w:eastAsia="仿宋" w:cs="DengXian-Regular"/>
          <w:sz w:val="32"/>
          <w:szCs w:val="32"/>
        </w:rPr>
        <w:t>副</w:t>
      </w:r>
      <w:r>
        <w:rPr>
          <w:rFonts w:ascii="仿宋" w:hAnsi="仿宋" w:eastAsia="仿宋" w:cs="DengXian-Regular"/>
          <w:sz w:val="32"/>
          <w:szCs w:val="32"/>
        </w:rPr>
        <w:t>组长，相关</w:t>
      </w:r>
      <w:r>
        <w:rPr>
          <w:rFonts w:hint="eastAsia" w:ascii="仿宋" w:hAnsi="仿宋" w:eastAsia="仿宋" w:cs="DengXian-Regular"/>
          <w:sz w:val="32"/>
          <w:szCs w:val="32"/>
        </w:rPr>
        <w:t>庭室</w:t>
      </w:r>
      <w:r>
        <w:rPr>
          <w:rFonts w:ascii="仿宋" w:hAnsi="仿宋" w:eastAsia="仿宋" w:cs="DengXian-Regular"/>
          <w:sz w:val="32"/>
          <w:szCs w:val="32"/>
        </w:rPr>
        <w:t>为成员的绩效评价工作领导小组</w:t>
      </w:r>
      <w:r>
        <w:rPr>
          <w:rFonts w:hint="eastAsia" w:ascii="仿宋" w:hAnsi="仿宋" w:eastAsia="仿宋" w:cs="DengXian-Regular"/>
          <w:sz w:val="32"/>
          <w:szCs w:val="32"/>
        </w:rPr>
        <w:t>，指定专人负责，</w:t>
      </w:r>
      <w:r>
        <w:rPr>
          <w:rFonts w:ascii="仿宋" w:hAnsi="仿宋" w:eastAsia="仿宋" w:cs="DengXian-Regular"/>
          <w:sz w:val="32"/>
          <w:szCs w:val="32"/>
        </w:rPr>
        <w:t>确保此项工作落到实处</w:t>
      </w:r>
      <w:r>
        <w:rPr>
          <w:rFonts w:hint="eastAsia" w:ascii="仿宋" w:hAnsi="仿宋" w:eastAsia="仿宋" w:cs="DengXian-Regular"/>
          <w:sz w:val="32"/>
          <w:szCs w:val="32"/>
        </w:rPr>
        <w:t>。</w:t>
      </w:r>
    </w:p>
    <w:p>
      <w:pPr>
        <w:adjustRightInd w:val="0"/>
        <w:snapToGrid w:val="0"/>
        <w:spacing w:after="0" w:line="560" w:lineRule="exact"/>
        <w:ind w:firstLine="640" w:firstLineChars="200"/>
        <w:rPr>
          <w:rFonts w:ascii="楷体" w:hAnsi="楷体" w:eastAsia="楷体" w:cs="DengXian-Regular"/>
          <w:sz w:val="32"/>
          <w:szCs w:val="32"/>
        </w:rPr>
      </w:pPr>
      <w:r>
        <w:rPr>
          <w:rFonts w:hint="eastAsia" w:ascii="楷体" w:hAnsi="楷体" w:eastAsia="楷体" w:cs="DengXian-Regular"/>
          <w:sz w:val="32"/>
          <w:szCs w:val="32"/>
        </w:rPr>
        <w:t>（二）项目绩效自评结果</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组织实施：</w:t>
      </w:r>
      <w:r>
        <w:rPr>
          <w:rFonts w:ascii="仿宋" w:hAnsi="仿宋" w:eastAsia="仿宋" w:cs="DengXian-Regular"/>
          <w:sz w:val="32"/>
          <w:szCs w:val="32"/>
        </w:rPr>
        <w:t>召开财政预算支出项目绩效评价工作会议，填写《2018年</w:t>
      </w:r>
      <w:r>
        <w:rPr>
          <w:rFonts w:hint="eastAsia" w:ascii="仿宋" w:hAnsi="仿宋" w:eastAsia="仿宋" w:cs="DengXian-Regular"/>
          <w:sz w:val="32"/>
          <w:szCs w:val="32"/>
        </w:rPr>
        <w:t>财政支出项目绩效自评表</w:t>
      </w:r>
      <w:r>
        <w:rPr>
          <w:rFonts w:ascii="仿宋" w:hAnsi="仿宋" w:eastAsia="仿宋" w:cs="DengXian-Regular"/>
          <w:sz w:val="32"/>
          <w:szCs w:val="32"/>
        </w:rPr>
        <w:t>》。由绩效评价工作领导小组办公室组织本单位熟悉业务的同志组成专家组，负责项目的绩效评价工作。通过对现场勘查、走访、电话约谈等方式对此项目进行了更为深入的了解</w:t>
      </w:r>
      <w:r>
        <w:rPr>
          <w:rFonts w:hint="eastAsia" w:ascii="仿宋" w:hAnsi="仿宋" w:eastAsia="仿宋" w:cs="DengXian-Regular"/>
          <w:sz w:val="32"/>
          <w:szCs w:val="32"/>
        </w:rPr>
        <w:t>。</w:t>
      </w:r>
      <w:r>
        <w:rPr>
          <w:rFonts w:ascii="仿宋" w:hAnsi="仿宋" w:eastAsia="仿宋" w:cs="DengXian-Regular"/>
          <w:sz w:val="32"/>
          <w:szCs w:val="32"/>
        </w:rPr>
        <w:t>组织编写绩效评价总体报告，并报经领导小组审查通过后</w:t>
      </w:r>
      <w:r>
        <w:rPr>
          <w:rFonts w:hint="eastAsia" w:ascii="仿宋" w:hAnsi="仿宋" w:eastAsia="仿宋" w:cs="DengXian-Regular"/>
          <w:sz w:val="32"/>
          <w:szCs w:val="32"/>
        </w:rPr>
        <w:t>上报。</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分析评价：</w:t>
      </w:r>
      <w:r>
        <w:rPr>
          <w:rFonts w:ascii="仿宋" w:hAnsi="仿宋" w:eastAsia="仿宋" w:cs="DengXian-Regular"/>
          <w:sz w:val="32"/>
          <w:szCs w:val="32"/>
        </w:rPr>
        <w:t>项目绩效评价</w:t>
      </w:r>
      <w:r>
        <w:rPr>
          <w:rFonts w:hint="eastAsia" w:ascii="仿宋" w:hAnsi="仿宋" w:eastAsia="仿宋" w:cs="DengXian-Regular"/>
          <w:sz w:val="32"/>
          <w:szCs w:val="32"/>
        </w:rPr>
        <w:t>采取内业</w:t>
      </w:r>
      <w:r>
        <w:rPr>
          <w:rFonts w:ascii="仿宋" w:hAnsi="仿宋" w:eastAsia="仿宋" w:cs="DengXian-Regular"/>
          <w:sz w:val="32"/>
          <w:szCs w:val="32"/>
        </w:rPr>
        <w:t>评价和</w:t>
      </w:r>
      <w:r>
        <w:rPr>
          <w:rFonts w:hint="eastAsia" w:ascii="仿宋" w:hAnsi="仿宋" w:eastAsia="仿宋" w:cs="DengXian-Regular"/>
          <w:sz w:val="32"/>
          <w:szCs w:val="32"/>
        </w:rPr>
        <w:t>外业</w:t>
      </w:r>
      <w:r>
        <w:rPr>
          <w:rFonts w:ascii="仿宋" w:hAnsi="仿宋" w:eastAsia="仿宋" w:cs="DengXian-Regular"/>
          <w:sz w:val="32"/>
          <w:szCs w:val="32"/>
        </w:rPr>
        <w:t>评价</w:t>
      </w:r>
      <w:r>
        <w:rPr>
          <w:rFonts w:hint="eastAsia" w:ascii="仿宋" w:hAnsi="仿宋" w:eastAsia="仿宋" w:cs="DengXian-Regular"/>
          <w:sz w:val="32"/>
          <w:szCs w:val="32"/>
        </w:rPr>
        <w:t>相结合、初步评价和最终评价相结合的技术路线。</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内业评价：</w:t>
      </w:r>
      <w:r>
        <w:rPr>
          <w:rFonts w:ascii="仿宋" w:hAnsi="仿宋" w:eastAsia="仿宋" w:cs="DengXian-Regular"/>
          <w:sz w:val="32"/>
          <w:szCs w:val="32"/>
        </w:rPr>
        <w:t>对项目从立项</w:t>
      </w:r>
      <w:r>
        <w:rPr>
          <w:rFonts w:hint="eastAsia" w:ascii="仿宋" w:hAnsi="仿宋" w:eastAsia="仿宋" w:cs="DengXian-Regular"/>
          <w:sz w:val="32"/>
          <w:szCs w:val="32"/>
        </w:rPr>
        <w:t>定位</w:t>
      </w:r>
      <w:r>
        <w:rPr>
          <w:rFonts w:ascii="仿宋" w:hAnsi="仿宋" w:eastAsia="仿宋" w:cs="DengXian-Regular"/>
          <w:sz w:val="32"/>
          <w:szCs w:val="32"/>
        </w:rPr>
        <w:t>、</w:t>
      </w:r>
      <w:r>
        <w:rPr>
          <w:rFonts w:hint="eastAsia" w:ascii="仿宋" w:hAnsi="仿宋" w:eastAsia="仿宋" w:cs="DengXian-Regular"/>
          <w:sz w:val="32"/>
          <w:szCs w:val="32"/>
        </w:rPr>
        <w:t>预算编制、组织实施、绩效评价</w:t>
      </w:r>
      <w:r>
        <w:rPr>
          <w:rFonts w:ascii="仿宋" w:hAnsi="仿宋" w:eastAsia="仿宋" w:cs="DengXian-Regular"/>
          <w:sz w:val="32"/>
          <w:szCs w:val="32"/>
        </w:rPr>
        <w:t>等</w:t>
      </w:r>
      <w:r>
        <w:rPr>
          <w:rFonts w:hint="eastAsia" w:ascii="仿宋" w:hAnsi="仿宋" w:eastAsia="仿宋" w:cs="DengXian-Regular"/>
          <w:sz w:val="32"/>
          <w:szCs w:val="32"/>
        </w:rPr>
        <w:t>方面对</w:t>
      </w:r>
      <w:r>
        <w:rPr>
          <w:rFonts w:ascii="仿宋" w:hAnsi="仿宋" w:eastAsia="仿宋" w:cs="DengXian-Regular"/>
          <w:sz w:val="32"/>
          <w:szCs w:val="32"/>
        </w:rPr>
        <w:t>各种技术、财务文档资料进行审查评价</w:t>
      </w:r>
      <w:r>
        <w:rPr>
          <w:rFonts w:hint="eastAsia" w:ascii="仿宋" w:hAnsi="仿宋" w:eastAsia="仿宋" w:cs="DengXian-Regular"/>
          <w:sz w:val="32"/>
          <w:szCs w:val="32"/>
        </w:rPr>
        <w:t>。</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外业评价：</w:t>
      </w:r>
      <w:r>
        <w:rPr>
          <w:rFonts w:ascii="仿宋" w:hAnsi="仿宋" w:eastAsia="仿宋" w:cs="DengXian-Regular"/>
          <w:sz w:val="32"/>
          <w:szCs w:val="32"/>
        </w:rPr>
        <w:t>根据项目实施进展情况，有关专家到现场按照设计方案对</w:t>
      </w:r>
      <w:r>
        <w:rPr>
          <w:rFonts w:hint="eastAsia" w:ascii="仿宋" w:hAnsi="仿宋" w:eastAsia="仿宋" w:cs="DengXian-Regular"/>
          <w:sz w:val="32"/>
          <w:szCs w:val="32"/>
        </w:rPr>
        <w:t>项目</w:t>
      </w:r>
      <w:r>
        <w:rPr>
          <w:rFonts w:ascii="仿宋" w:hAnsi="仿宋" w:eastAsia="仿宋" w:cs="DengXian-Regular"/>
          <w:sz w:val="32"/>
          <w:szCs w:val="32"/>
        </w:rPr>
        <w:t>已完成</w:t>
      </w:r>
      <w:r>
        <w:rPr>
          <w:rFonts w:hint="eastAsia" w:ascii="仿宋" w:hAnsi="仿宋" w:eastAsia="仿宋" w:cs="DengXian-Regular"/>
          <w:sz w:val="32"/>
          <w:szCs w:val="32"/>
        </w:rPr>
        <w:t>情况</w:t>
      </w:r>
      <w:r>
        <w:rPr>
          <w:rFonts w:ascii="仿宋" w:hAnsi="仿宋" w:eastAsia="仿宋" w:cs="DengXian-Regular"/>
          <w:sz w:val="32"/>
          <w:szCs w:val="32"/>
        </w:rPr>
        <w:t>进行核实，对</w:t>
      </w:r>
      <w:r>
        <w:rPr>
          <w:rFonts w:hint="eastAsia" w:ascii="仿宋" w:hAnsi="仿宋" w:eastAsia="仿宋" w:cs="DengXian-Regular"/>
          <w:sz w:val="32"/>
          <w:szCs w:val="32"/>
        </w:rPr>
        <w:t>项目具体实施成果</w:t>
      </w:r>
      <w:r>
        <w:rPr>
          <w:rFonts w:ascii="仿宋" w:hAnsi="仿宋" w:eastAsia="仿宋" w:cs="DengXian-Regular"/>
          <w:sz w:val="32"/>
          <w:szCs w:val="32"/>
        </w:rPr>
        <w:t>与规划设计进行比照，以查验</w:t>
      </w:r>
      <w:r>
        <w:rPr>
          <w:rFonts w:hint="eastAsia" w:ascii="仿宋" w:hAnsi="仿宋" w:eastAsia="仿宋" w:cs="DengXian-Regular"/>
          <w:sz w:val="32"/>
          <w:szCs w:val="32"/>
        </w:rPr>
        <w:t>项目</w:t>
      </w:r>
      <w:r>
        <w:rPr>
          <w:rFonts w:ascii="仿宋" w:hAnsi="仿宋" w:eastAsia="仿宋" w:cs="DengXian-Regular"/>
          <w:sz w:val="32"/>
          <w:szCs w:val="32"/>
        </w:rPr>
        <w:t>是否达到设计要求。并</w:t>
      </w:r>
      <w:r>
        <w:rPr>
          <w:rFonts w:hint="eastAsia" w:ascii="仿宋" w:hAnsi="仿宋" w:eastAsia="仿宋" w:cs="DengXian-Regular"/>
          <w:sz w:val="32"/>
          <w:szCs w:val="32"/>
        </w:rPr>
        <w:t>通过听汇报、座谈会、实地查看、</w:t>
      </w:r>
      <w:r>
        <w:rPr>
          <w:rFonts w:ascii="仿宋" w:hAnsi="仿宋" w:eastAsia="仿宋" w:cs="DengXian-Regular"/>
          <w:sz w:val="32"/>
          <w:szCs w:val="32"/>
        </w:rPr>
        <w:t>走访</w:t>
      </w:r>
      <w:r>
        <w:rPr>
          <w:rFonts w:hint="eastAsia" w:ascii="仿宋" w:hAnsi="仿宋" w:eastAsia="仿宋" w:cs="DengXian-Regular"/>
          <w:sz w:val="32"/>
          <w:szCs w:val="32"/>
        </w:rPr>
        <w:t>职工及当地群众等</w:t>
      </w:r>
      <w:r>
        <w:rPr>
          <w:rFonts w:ascii="仿宋" w:hAnsi="仿宋" w:eastAsia="仿宋" w:cs="DengXian-Regular"/>
          <w:sz w:val="32"/>
          <w:szCs w:val="32"/>
        </w:rPr>
        <w:t>，了解</w:t>
      </w:r>
      <w:r>
        <w:rPr>
          <w:rFonts w:hint="eastAsia" w:ascii="仿宋" w:hAnsi="仿宋" w:eastAsia="仿宋" w:cs="DengXian-Regular"/>
          <w:sz w:val="32"/>
          <w:szCs w:val="32"/>
        </w:rPr>
        <w:t>项目的实施及项目效益情况</w:t>
      </w:r>
      <w:r>
        <w:rPr>
          <w:rFonts w:ascii="仿宋" w:hAnsi="仿宋" w:eastAsia="仿宋" w:cs="DengXian-Regular"/>
          <w:sz w:val="32"/>
          <w:szCs w:val="32"/>
        </w:rPr>
        <w:t>。</w:t>
      </w:r>
      <w:r>
        <w:rPr>
          <w:rFonts w:hint="eastAsia" w:ascii="仿宋" w:hAnsi="仿宋" w:eastAsia="仿宋" w:cs="DengXian-Regular"/>
          <w:sz w:val="32"/>
          <w:szCs w:val="32"/>
        </w:rPr>
        <w:t>据此对项目做出相关评价。</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初步评价和最终评价：</w:t>
      </w:r>
      <w:r>
        <w:rPr>
          <w:rFonts w:ascii="仿宋" w:hAnsi="仿宋" w:eastAsia="仿宋" w:cs="DengXian-Regular"/>
          <w:sz w:val="32"/>
          <w:szCs w:val="32"/>
        </w:rPr>
        <w:t>根据审阅相关资料和现场评价情况，专家依据项目绩效评价的有关规定，对项目总体情况进行科学、客观地分析评价，按照项目绩效评价方法规定的指标体系提取评价指标数据，对项目进行量化评分，形成项目绩效评价的初步</w:t>
      </w:r>
      <w:r>
        <w:rPr>
          <w:rFonts w:hint="eastAsia" w:ascii="仿宋" w:hAnsi="仿宋" w:eastAsia="仿宋" w:cs="DengXian-Regular"/>
          <w:sz w:val="32"/>
          <w:szCs w:val="32"/>
        </w:rPr>
        <w:t>评价</w:t>
      </w:r>
      <w:r>
        <w:rPr>
          <w:rFonts w:ascii="仿宋" w:hAnsi="仿宋" w:eastAsia="仿宋" w:cs="DengXian-Regular"/>
          <w:sz w:val="32"/>
          <w:szCs w:val="32"/>
        </w:rPr>
        <w:t>意见。根据</w:t>
      </w:r>
      <w:r>
        <w:rPr>
          <w:rFonts w:hint="eastAsia" w:ascii="仿宋" w:hAnsi="仿宋" w:eastAsia="仿宋" w:cs="DengXian-Regular"/>
          <w:sz w:val="32"/>
          <w:szCs w:val="32"/>
        </w:rPr>
        <w:t>项目</w:t>
      </w:r>
      <w:r>
        <w:rPr>
          <w:rFonts w:ascii="仿宋" w:hAnsi="仿宋" w:eastAsia="仿宋" w:cs="DengXian-Regular"/>
          <w:sz w:val="32"/>
          <w:szCs w:val="32"/>
        </w:rPr>
        <w:t>绩效评价的初步</w:t>
      </w:r>
      <w:r>
        <w:rPr>
          <w:rFonts w:hint="eastAsia" w:ascii="仿宋" w:hAnsi="仿宋" w:eastAsia="仿宋" w:cs="DengXian-Regular"/>
          <w:sz w:val="32"/>
          <w:szCs w:val="32"/>
        </w:rPr>
        <w:t>评价</w:t>
      </w:r>
      <w:r>
        <w:rPr>
          <w:rFonts w:ascii="仿宋" w:hAnsi="仿宋" w:eastAsia="仿宋" w:cs="DengXian-Regular"/>
          <w:sz w:val="32"/>
          <w:szCs w:val="32"/>
        </w:rPr>
        <w:t>意见，专家组集体讨论，</w:t>
      </w:r>
      <w:r>
        <w:rPr>
          <w:rFonts w:hint="eastAsia" w:ascii="仿宋" w:hAnsi="仿宋" w:eastAsia="仿宋" w:cs="DengXian-Regular"/>
          <w:sz w:val="32"/>
          <w:szCs w:val="32"/>
        </w:rPr>
        <w:t>从整体上对项目进行把握定位，深入分析项目绩效成果和存在的不足，与项目承担单位进行进一步沟通，对初步评价意见进行完善，形成最终评价意见。</w:t>
      </w:r>
    </w:p>
    <w:p>
      <w:pPr>
        <w:adjustRightInd w:val="0"/>
        <w:snapToGrid w:val="0"/>
        <w:spacing w:after="0" w:line="560" w:lineRule="exact"/>
        <w:ind w:firstLine="640" w:firstLineChars="200"/>
        <w:rPr>
          <w:rFonts w:ascii="楷体" w:hAnsi="楷体" w:eastAsia="楷体" w:cs="Calibri"/>
          <w:sz w:val="32"/>
          <w:szCs w:val="32"/>
        </w:rPr>
      </w:pPr>
      <w:r>
        <w:rPr>
          <w:rFonts w:hint="eastAsia" w:ascii="楷体" w:hAnsi="楷体" w:eastAsia="楷体" w:cs="DengXian-Regular"/>
          <w:sz w:val="32"/>
          <w:szCs w:val="32"/>
        </w:rPr>
        <w:t>（</w:t>
      </w:r>
      <w:r>
        <w:rPr>
          <w:rFonts w:hint="eastAsia" w:ascii="楷体" w:hAnsi="楷体" w:eastAsia="楷体" w:cs="Calibri"/>
          <w:sz w:val="32"/>
          <w:szCs w:val="32"/>
        </w:rPr>
        <w:t>三</w:t>
      </w:r>
      <w:r>
        <w:rPr>
          <w:rFonts w:hint="eastAsia" w:ascii="楷体" w:hAnsi="楷体" w:eastAsia="楷体" w:cs="DengXian-Regular"/>
          <w:sz w:val="32"/>
          <w:szCs w:val="32"/>
        </w:rPr>
        <w:t>）</w:t>
      </w:r>
      <w:r>
        <w:rPr>
          <w:rFonts w:hint="eastAsia" w:ascii="楷体" w:hAnsi="楷体" w:eastAsia="楷体" w:cs="Calibri"/>
          <w:sz w:val="32"/>
          <w:szCs w:val="32"/>
        </w:rPr>
        <w:t>部门决算量化评价表。</w:t>
      </w:r>
    </w:p>
    <w:p>
      <w:pPr>
        <w:adjustRightInd w:val="0"/>
        <w:snapToGrid w:val="0"/>
        <w:spacing w:after="0" w:line="560" w:lineRule="exact"/>
        <w:ind w:firstLine="640" w:firstLineChars="200"/>
        <w:rPr>
          <w:rFonts w:ascii="楷体" w:hAnsi="楷体" w:eastAsia="楷体" w:cs="Calibri"/>
          <w:sz w:val="32"/>
          <w:szCs w:val="32"/>
        </w:rPr>
      </w:pPr>
      <w:r>
        <w:rPr>
          <w:rFonts w:ascii="楷体" w:hAnsi="楷体" w:eastAsia="楷体" w:cs="Calibri"/>
          <w:sz w:val="32"/>
          <w:szCs w:val="32"/>
        </w:rPr>
        <w:drawing>
          <wp:anchor distT="0" distB="0" distL="114300" distR="114300" simplePos="0" relativeHeight="251683840" behindDoc="0" locked="0" layoutInCell="1" allowOverlap="1">
            <wp:simplePos x="0" y="0"/>
            <wp:positionH relativeFrom="column">
              <wp:posOffset>-149860</wp:posOffset>
            </wp:positionH>
            <wp:positionV relativeFrom="paragraph">
              <wp:posOffset>487680</wp:posOffset>
            </wp:positionV>
            <wp:extent cx="6165850" cy="3582670"/>
            <wp:effectExtent l="19050" t="0" r="6350" b="0"/>
            <wp:wrapSquare wrapText="bothSides"/>
            <wp:docPr id="19" name="图片 18"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02.jpg"/>
                    <pic:cNvPicPr>
                      <a:picLocks noChangeAspect="1"/>
                    </pic:cNvPicPr>
                  </pic:nvPicPr>
                  <pic:blipFill>
                    <a:blip r:embed="rId10" cstate="print"/>
                    <a:stretch>
                      <a:fillRect/>
                    </a:stretch>
                  </pic:blipFill>
                  <pic:spPr>
                    <a:xfrm>
                      <a:off x="0" y="0"/>
                      <a:ext cx="6165850" cy="3582670"/>
                    </a:xfrm>
                    <a:prstGeom prst="rect">
                      <a:avLst/>
                    </a:prstGeom>
                  </pic:spPr>
                </pic:pic>
              </a:graphicData>
            </a:graphic>
          </wp:anchor>
        </w:drawing>
      </w:r>
    </w:p>
    <w:p>
      <w:pPr>
        <w:adjustRightInd w:val="0"/>
        <w:snapToGrid w:val="0"/>
        <w:spacing w:after="0" w:line="560" w:lineRule="exact"/>
        <w:ind w:firstLine="640" w:firstLineChars="200"/>
        <w:rPr>
          <w:rFonts w:ascii="楷体" w:hAnsi="楷体" w:eastAsia="楷体" w:cs="Calibri"/>
          <w:sz w:val="32"/>
          <w:szCs w:val="32"/>
        </w:rPr>
      </w:pPr>
    </w:p>
    <w:p>
      <w:pPr>
        <w:adjustRightInd w:val="0"/>
        <w:snapToGrid w:val="0"/>
        <w:spacing w:after="0" w:line="560" w:lineRule="exact"/>
        <w:ind w:firstLine="640" w:firstLineChars="200"/>
        <w:rPr>
          <w:rFonts w:ascii="楷体" w:hAnsi="楷体" w:eastAsia="楷体" w:cs="Calibri"/>
          <w:sz w:val="32"/>
          <w:szCs w:val="32"/>
        </w:rPr>
      </w:pPr>
    </w:p>
    <w:p>
      <w:pPr>
        <w:adjustRightInd w:val="0"/>
        <w:snapToGrid w:val="0"/>
        <w:spacing w:after="0" w:line="560" w:lineRule="exact"/>
        <w:ind w:firstLine="640" w:firstLineChars="200"/>
        <w:rPr>
          <w:rFonts w:ascii="楷体" w:hAnsi="楷体" w:eastAsia="楷体" w:cs="Calibri"/>
          <w:sz w:val="32"/>
          <w:szCs w:val="32"/>
        </w:rPr>
      </w:pPr>
      <w:r>
        <w:rPr>
          <w:rFonts w:hint="eastAsia" w:ascii="楷体" w:hAnsi="楷体" w:eastAsia="楷体" w:cs="Calibri"/>
          <w:sz w:val="32"/>
          <w:szCs w:val="32"/>
        </w:rPr>
        <w:drawing>
          <wp:anchor distT="0" distB="0" distL="114300" distR="114300" simplePos="0" relativeHeight="251685888" behindDoc="0" locked="0" layoutInCell="1" allowOverlap="1">
            <wp:simplePos x="0" y="0"/>
            <wp:positionH relativeFrom="column">
              <wp:posOffset>-33020</wp:posOffset>
            </wp:positionH>
            <wp:positionV relativeFrom="paragraph">
              <wp:posOffset>4462145</wp:posOffset>
            </wp:positionV>
            <wp:extent cx="5605145" cy="2039620"/>
            <wp:effectExtent l="19050" t="0" r="0" b="0"/>
            <wp:wrapSquare wrapText="bothSides"/>
            <wp:docPr id="27" name="图片 25" descr="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06.jpg"/>
                    <pic:cNvPicPr>
                      <a:picLocks noChangeAspect="1"/>
                    </pic:cNvPicPr>
                  </pic:nvPicPr>
                  <pic:blipFill>
                    <a:blip r:embed="rId11" cstate="print"/>
                    <a:stretch>
                      <a:fillRect/>
                    </a:stretch>
                  </pic:blipFill>
                  <pic:spPr>
                    <a:xfrm>
                      <a:off x="0" y="0"/>
                      <a:ext cx="5605145" cy="2039620"/>
                    </a:xfrm>
                    <a:prstGeom prst="rect">
                      <a:avLst/>
                    </a:prstGeom>
                  </pic:spPr>
                </pic:pic>
              </a:graphicData>
            </a:graphic>
          </wp:anchor>
        </w:drawing>
      </w:r>
      <w:r>
        <w:rPr>
          <w:rFonts w:hint="eastAsia" w:ascii="楷体" w:hAnsi="楷体" w:eastAsia="楷体" w:cs="Calibri"/>
          <w:sz w:val="32"/>
          <w:szCs w:val="32"/>
        </w:rPr>
        <w:drawing>
          <wp:anchor distT="0" distB="0" distL="114300" distR="114300" simplePos="0" relativeHeight="251684864" behindDoc="0" locked="0" layoutInCell="1" allowOverlap="1">
            <wp:simplePos x="0" y="0"/>
            <wp:positionH relativeFrom="column">
              <wp:posOffset>-33020</wp:posOffset>
            </wp:positionH>
            <wp:positionV relativeFrom="paragraph">
              <wp:posOffset>113665</wp:posOffset>
            </wp:positionV>
            <wp:extent cx="5608955" cy="4348480"/>
            <wp:effectExtent l="19050" t="0" r="0" b="0"/>
            <wp:wrapSquare wrapText="bothSides"/>
            <wp:docPr id="20" name="图片 19"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03.jpg"/>
                    <pic:cNvPicPr>
                      <a:picLocks noChangeAspect="1"/>
                    </pic:cNvPicPr>
                  </pic:nvPicPr>
                  <pic:blipFill>
                    <a:blip r:embed="rId12" cstate="print"/>
                    <a:stretch>
                      <a:fillRect/>
                    </a:stretch>
                  </pic:blipFill>
                  <pic:spPr>
                    <a:xfrm>
                      <a:off x="0" y="0"/>
                      <a:ext cx="5608955" cy="4348480"/>
                    </a:xfrm>
                    <a:prstGeom prst="rect">
                      <a:avLst/>
                    </a:prstGeom>
                  </pic:spPr>
                </pic:pic>
              </a:graphicData>
            </a:graphic>
          </wp:anchor>
        </w:drawing>
      </w:r>
    </w:p>
    <w:p>
      <w:pPr>
        <w:adjustRightInd w:val="0"/>
        <w:snapToGrid w:val="0"/>
        <w:spacing w:after="0" w:line="560" w:lineRule="exact"/>
        <w:ind w:firstLine="640" w:firstLineChars="200"/>
        <w:rPr>
          <w:rFonts w:ascii="楷体" w:hAnsi="楷体" w:eastAsia="楷体" w:cs="Calibri"/>
          <w:sz w:val="32"/>
          <w:szCs w:val="32"/>
        </w:rPr>
      </w:pPr>
    </w:p>
    <w:p>
      <w:pPr>
        <w:pStyle w:val="3"/>
        <w:spacing w:before="0" w:after="0" w:line="560" w:lineRule="exact"/>
        <w:rPr>
          <w:rFonts w:cs="Times New Roman" w:asciiTheme="minorEastAsia" w:hAnsiTheme="minorEastAsia" w:eastAsiaTheme="minorEastAsia"/>
          <w:b w:val="0"/>
          <w:bCs w:val="0"/>
        </w:rPr>
      </w:pPr>
      <w:r>
        <w:rPr>
          <w:rFonts w:hint="eastAsia" w:cs="Times New Roman" w:asciiTheme="minorEastAsia" w:hAnsiTheme="minorEastAsia" w:eastAsiaTheme="minorEastAsia"/>
          <w:b w:val="0"/>
          <w:bCs w:val="0"/>
        </w:rPr>
        <w:t xml:space="preserve">    七、其他重要事项的说明</w:t>
      </w:r>
    </w:p>
    <w:p>
      <w:pPr>
        <w:pStyle w:val="4"/>
        <w:spacing w:before="0" w:after="0" w:line="560" w:lineRule="exact"/>
        <w:ind w:firstLine="640" w:firstLineChars="200"/>
        <w:rPr>
          <w:rFonts w:ascii="楷体" w:hAnsi="楷体" w:eastAsia="楷体" w:cs="DengXian-Bold"/>
          <w:b w:val="0"/>
        </w:rPr>
      </w:pPr>
      <w:r>
        <w:rPr>
          <w:rFonts w:hint="eastAsia" w:ascii="楷体" w:hAnsi="楷体" w:eastAsia="楷体" w:cs="DengXian-Bold"/>
          <w:b w:val="0"/>
        </w:rPr>
        <w:t>（一）机关运行经费情况</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本部门2018年度机关运行经费支出435.55万元，比年初预算数减少346.99万元，降低44.34%。主要原因是本着厉行节约要求，严格管理，按照能压就压，能减就减的原则控制一般性支出。较2</w:t>
      </w:r>
      <w:r>
        <w:rPr>
          <w:rFonts w:ascii="仿宋" w:hAnsi="仿宋" w:eastAsia="仿宋" w:cs="DengXian-Regular"/>
          <w:sz w:val="32"/>
          <w:szCs w:val="32"/>
        </w:rPr>
        <w:t>017</w:t>
      </w:r>
      <w:r>
        <w:rPr>
          <w:rFonts w:hint="eastAsia" w:ascii="仿宋" w:hAnsi="仿宋" w:eastAsia="仿宋" w:cs="DengXian-Regular"/>
          <w:sz w:val="32"/>
          <w:szCs w:val="32"/>
        </w:rPr>
        <w:t>年决算增加200.72万元，增长85.55%,主要是一、省高院统一进行电子卷宗扫描故委托费增加，二、由于我院办公设备老化故办公设备购置费增加。三、公务员增加交通补贴故其他交通费增加。</w:t>
      </w:r>
    </w:p>
    <w:p>
      <w:pPr>
        <w:adjustRightInd w:val="0"/>
        <w:snapToGrid w:val="0"/>
        <w:spacing w:after="0" w:line="560" w:lineRule="exact"/>
        <w:ind w:firstLine="640" w:firstLineChars="200"/>
        <w:rPr>
          <w:rFonts w:ascii="楷体" w:hAnsi="楷体" w:eastAsia="楷体" w:cs="DengXian-Regular"/>
          <w:sz w:val="32"/>
          <w:szCs w:val="32"/>
        </w:rPr>
      </w:pPr>
      <w:r>
        <w:rPr>
          <w:rFonts w:hint="eastAsia" w:ascii="楷体" w:hAnsi="楷体" w:eastAsia="楷体" w:cs="DengXian-Bold"/>
          <w:sz w:val="32"/>
          <w:szCs w:val="32"/>
        </w:rPr>
        <w:t>（二）政府采购情况</w:t>
      </w:r>
    </w:p>
    <w:p>
      <w:pPr>
        <w:spacing w:after="0" w:line="560" w:lineRule="exact"/>
        <w:ind w:firstLine="200"/>
        <w:rPr>
          <w:rFonts w:ascii="仿宋" w:hAnsi="仿宋" w:eastAsia="仿宋" w:cs="宋体"/>
          <w:kern w:val="0"/>
          <w:sz w:val="32"/>
          <w:szCs w:val="32"/>
        </w:rPr>
      </w:pPr>
      <w:r>
        <w:rPr>
          <w:rFonts w:hint="eastAsia" w:ascii="仿宋" w:hAnsi="仿宋" w:eastAsia="仿宋" w:cs="DengXian-Regular"/>
          <w:sz w:val="32"/>
          <w:szCs w:val="32"/>
        </w:rPr>
        <w:t xml:space="preserve">   本部门2018年度政府采购支出总额0万元，</w:t>
      </w:r>
      <w:r>
        <w:rPr>
          <w:rFonts w:hint="eastAsia" w:ascii="仿宋" w:hAnsi="仿宋" w:eastAsia="仿宋"/>
          <w:sz w:val="32"/>
          <w:szCs w:val="32"/>
        </w:rPr>
        <w:t>2018</w:t>
      </w:r>
      <w:r>
        <w:rPr>
          <w:rFonts w:hint="eastAsia" w:ascii="仿宋" w:hAnsi="仿宋" w:eastAsia="仿宋" w:cs="宋体"/>
          <w:kern w:val="0"/>
          <w:sz w:val="32"/>
          <w:szCs w:val="32"/>
        </w:rPr>
        <w:t>年部门预算中我单位未安排政府采购预算，</w:t>
      </w:r>
      <w:r>
        <w:rPr>
          <w:rFonts w:hint="eastAsia" w:ascii="仿宋" w:hAnsi="仿宋" w:eastAsia="仿宋"/>
          <w:sz w:val="32"/>
          <w:szCs w:val="32"/>
        </w:rPr>
        <w:t xml:space="preserve"> 2018</w:t>
      </w:r>
      <w:r>
        <w:rPr>
          <w:rFonts w:hint="eastAsia" w:ascii="仿宋" w:hAnsi="仿宋" w:eastAsia="仿宋" w:cs="宋体"/>
          <w:kern w:val="0"/>
          <w:sz w:val="32"/>
          <w:szCs w:val="32"/>
        </w:rPr>
        <w:t>年的采购项目都属于限额以下的小型采购，所以未安排此类预算支出。</w:t>
      </w:r>
    </w:p>
    <w:p>
      <w:pPr>
        <w:tabs>
          <w:tab w:val="left" w:pos="13077"/>
        </w:tabs>
        <w:overflowPunct w:val="0"/>
        <w:autoSpaceDE w:val="0"/>
        <w:autoSpaceDN w:val="0"/>
        <w:spacing w:after="0" w:line="560" w:lineRule="exact"/>
        <w:rPr>
          <w:rFonts w:ascii="楷体" w:hAnsi="楷体" w:eastAsia="楷体" w:cs="楷体"/>
          <w:bCs/>
          <w:sz w:val="32"/>
          <w:szCs w:val="32"/>
        </w:rPr>
      </w:pPr>
      <w:r>
        <w:rPr>
          <w:rFonts w:hint="eastAsia" w:ascii="仿宋" w:hAnsi="仿宋" w:eastAsia="仿宋" w:cs="DengXian-Regular"/>
          <w:sz w:val="32"/>
          <w:szCs w:val="32"/>
        </w:rPr>
        <w:t xml:space="preserve">    </w:t>
      </w:r>
      <w:r>
        <w:rPr>
          <w:rFonts w:hint="eastAsia" w:ascii="楷体" w:hAnsi="楷体" w:eastAsia="楷体" w:cs="楷体"/>
          <w:bCs/>
          <w:sz w:val="32"/>
          <w:szCs w:val="32"/>
        </w:rPr>
        <w:t>（三）政府性基金情况说明</w:t>
      </w:r>
    </w:p>
    <w:p>
      <w:pPr>
        <w:tabs>
          <w:tab w:val="left" w:pos="13077"/>
        </w:tabs>
        <w:overflowPunct w:val="0"/>
        <w:autoSpaceDE w:val="0"/>
        <w:autoSpaceDN w:val="0"/>
        <w:spacing w:after="0"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2018年我单位无政府性基金收入支出，于2017年决算一致。</w:t>
      </w:r>
    </w:p>
    <w:p>
      <w:pPr>
        <w:tabs>
          <w:tab w:val="left" w:pos="13077"/>
        </w:tabs>
        <w:overflowPunct w:val="0"/>
        <w:autoSpaceDE w:val="0"/>
        <w:autoSpaceDN w:val="0"/>
        <w:spacing w:after="0" w:line="560" w:lineRule="exact"/>
        <w:ind w:firstLine="640" w:firstLineChars="200"/>
        <w:rPr>
          <w:rFonts w:ascii="楷体" w:hAnsi="楷体" w:eastAsia="楷体" w:cs="楷体"/>
          <w:bCs/>
          <w:sz w:val="32"/>
          <w:szCs w:val="32"/>
        </w:rPr>
      </w:pPr>
      <w:r>
        <w:rPr>
          <w:rFonts w:hint="eastAsia" w:ascii="楷体" w:hAnsi="楷体" w:eastAsia="楷体" w:cs="楷体"/>
          <w:bCs/>
          <w:sz w:val="32"/>
          <w:szCs w:val="32"/>
        </w:rPr>
        <w:t>（四）国有资本情况说明</w:t>
      </w:r>
    </w:p>
    <w:p>
      <w:pPr>
        <w:tabs>
          <w:tab w:val="left" w:pos="13077"/>
        </w:tabs>
        <w:overflowPunct w:val="0"/>
        <w:autoSpaceDE w:val="0"/>
        <w:autoSpaceDN w:val="0"/>
        <w:spacing w:after="0" w:line="56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2018年我单位无国有资本经营收入支出。</w:t>
      </w:r>
    </w:p>
    <w:p>
      <w:pPr>
        <w:tabs>
          <w:tab w:val="left" w:pos="13077"/>
        </w:tabs>
        <w:overflowPunct w:val="0"/>
        <w:autoSpaceDE w:val="0"/>
        <w:autoSpaceDN w:val="0"/>
        <w:spacing w:after="0" w:line="560" w:lineRule="exact"/>
        <w:ind w:firstLine="640" w:firstLineChars="200"/>
        <w:rPr>
          <w:rFonts w:ascii="仿宋" w:hAnsi="仿宋" w:eastAsia="仿宋" w:cs="仿宋_GB2312"/>
          <w:color w:val="FFFFFF"/>
          <w:sz w:val="32"/>
          <w:szCs w:val="32"/>
        </w:rPr>
      </w:pPr>
      <w:r>
        <w:rPr>
          <w:rFonts w:hint="eastAsia" w:ascii="楷体" w:hAnsi="楷体" w:eastAsia="楷体" w:cs="DengXian-Bold"/>
          <w:sz w:val="32"/>
          <w:szCs w:val="32"/>
        </w:rPr>
        <w:t>（</w:t>
      </w:r>
      <w:r>
        <w:rPr>
          <w:rFonts w:hint="eastAsia" w:ascii="楷体" w:hAnsi="楷体" w:eastAsia="楷体" w:cs="宋体"/>
          <w:sz w:val="32"/>
          <w:szCs w:val="32"/>
        </w:rPr>
        <w:t>五</w:t>
      </w:r>
      <w:r>
        <w:rPr>
          <w:rFonts w:hint="eastAsia" w:ascii="楷体" w:hAnsi="楷体" w:eastAsia="楷体" w:cs="DengXian-Bold"/>
          <w:sz w:val="32"/>
          <w:szCs w:val="32"/>
        </w:rPr>
        <w:t>）国有资产占用情况</w:t>
      </w:r>
    </w:p>
    <w:p>
      <w:pPr>
        <w:spacing w:line="610" w:lineRule="exact"/>
        <w:ind w:firstLine="640" w:firstLineChars="200"/>
        <w:rPr>
          <w:rFonts w:ascii="仿宋" w:hAnsi="仿宋" w:eastAsia="仿宋" w:cs="仿宋"/>
          <w:sz w:val="32"/>
          <w:szCs w:val="32"/>
        </w:rPr>
      </w:pPr>
      <w:r>
        <w:rPr>
          <w:rFonts w:hint="eastAsia" w:ascii="仿宋" w:hAnsi="仿宋" w:eastAsia="仿宋" w:cs="仿宋"/>
          <w:sz w:val="32"/>
          <w:szCs w:val="32"/>
        </w:rPr>
        <w:t>截至2018年12月31日，年末资产总价值为4214.79万元。其中：流动资产901.75万元；固定资产3313.04万元。2018年资产总量增加592.38万元，具体变动情况如下：</w:t>
      </w:r>
    </w:p>
    <w:p>
      <w:pPr>
        <w:spacing w:line="610" w:lineRule="exact"/>
        <w:ind w:firstLine="640" w:firstLineChars="200"/>
        <w:rPr>
          <w:rFonts w:ascii="仿宋" w:hAnsi="仿宋" w:eastAsia="仿宋" w:cs="仿宋"/>
          <w:sz w:val="32"/>
          <w:szCs w:val="32"/>
        </w:rPr>
      </w:pPr>
      <w:r>
        <w:rPr>
          <w:rFonts w:hint="eastAsia" w:ascii="仿宋" w:hAnsi="仿宋" w:eastAsia="仿宋" w:cs="仿宋"/>
          <w:sz w:val="32"/>
          <w:szCs w:val="32"/>
        </w:rPr>
        <w:t>流动资产年初价值479.67万元，年末价值901.75万元，比年初增加了422.08万元，此项为财政应返还额度及往来款项中银行存款变化。</w:t>
      </w:r>
    </w:p>
    <w:p>
      <w:pPr>
        <w:tabs>
          <w:tab w:val="left" w:pos="13077"/>
        </w:tabs>
        <w:overflowPunct w:val="0"/>
        <w:autoSpaceDE w:val="0"/>
        <w:autoSpaceDN w:val="0"/>
        <w:spacing w:line="240" w:lineRule="auto"/>
        <w:ind w:firstLine="640" w:firstLineChars="200"/>
        <w:rPr>
          <w:rFonts w:ascii="仿宋" w:hAnsi="仿宋" w:eastAsia="仿宋" w:cs="仿宋"/>
          <w:sz w:val="32"/>
          <w:szCs w:val="32"/>
        </w:rPr>
      </w:pPr>
      <w:r>
        <w:rPr>
          <w:rFonts w:hint="eastAsia" w:ascii="仿宋" w:hAnsi="仿宋" w:eastAsia="仿宋" w:cs="仿宋"/>
          <w:sz w:val="32"/>
          <w:szCs w:val="32"/>
        </w:rPr>
        <w:t>固定资产变化情况：年初资产合计为3142.75万元，年末资产合计3313.04万元，比年初增加170.29万元，其中：房屋年初价值1657.59万元【办公用房88.90万元、业务用房115.71万元、其他（不含构筑物）41.16万元，】，房屋年末价值1657.59万元【办公用房88.90万元、业务用房115.71万元、其他（不含构筑物）41.16万元，】无变化，车辆年初40台，车辆年初价值369.03万元（其中：一般公务用车1台，公务用车年初价值24.8万元），车辆年末40台，车辆年末价值369.03万元（其中：一般公务用车1台，公务用车年末价值24.8万元无变化）无变化，其他固定资产年初价值1116.12万元，年末价值1286.42万元，增加了170.3万元，购置电脑打印机、空调、会议桌椅等。</w:t>
      </w:r>
    </w:p>
    <w:p>
      <w:pPr>
        <w:tabs>
          <w:tab w:val="left" w:pos="13077"/>
        </w:tabs>
        <w:overflowPunct w:val="0"/>
        <w:autoSpaceDE w:val="0"/>
        <w:autoSpaceDN w:val="0"/>
        <w:spacing w:line="240" w:lineRule="auto"/>
        <w:ind w:firstLine="640" w:firstLineChars="200"/>
        <w:rPr>
          <w:rFonts w:ascii="楷体" w:hAnsi="楷体" w:eastAsia="楷体" w:cs="DengXian-Bold"/>
          <w:sz w:val="32"/>
          <w:szCs w:val="32"/>
        </w:rPr>
      </w:pPr>
      <w:r>
        <w:rPr>
          <w:rFonts w:hint="eastAsia" w:ascii="楷体" w:hAnsi="楷体" w:eastAsia="楷体" w:cs="DengXian-Bold"/>
          <w:sz w:val="32"/>
          <w:szCs w:val="32"/>
        </w:rPr>
        <w:t>（四）其他需要说明的情况</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1、本部门2018年度结转结余486.43万元，主要是：一、扫黑除恶专项资金、二、电子卷宗扫描资金、三、中央转移支付资金。</w:t>
      </w:r>
    </w:p>
    <w:p>
      <w:pPr>
        <w:adjustRightInd w:val="0"/>
        <w:snapToGrid w:val="0"/>
        <w:spacing w:after="0" w:line="56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2、由于决算原</w:t>
      </w:r>
      <w:r>
        <w:rPr>
          <w:rFonts w:hint="eastAsia" w:ascii="仿宋" w:hAnsi="仿宋" w:eastAsia="仿宋" w:cs="微软雅黑"/>
          <w:sz w:val="32"/>
          <w:szCs w:val="32"/>
        </w:rPr>
        <w:t>始</w:t>
      </w:r>
      <w:r>
        <w:rPr>
          <w:rFonts w:hint="eastAsia" w:ascii="仿宋" w:hAnsi="仿宋" w:eastAsia="仿宋" w:cs="DengXian-Regular"/>
          <w:sz w:val="32"/>
          <w:szCs w:val="32"/>
        </w:rPr>
        <w:t>数据为元，公开表格为万元保留两位小数，数据为决算</w:t>
      </w:r>
      <w:r>
        <w:rPr>
          <w:rFonts w:hint="eastAsia" w:ascii="仿宋" w:hAnsi="仿宋" w:eastAsia="仿宋" w:cs="微软雅黑"/>
          <w:sz w:val="32"/>
          <w:szCs w:val="32"/>
        </w:rPr>
        <w:t>系</w:t>
      </w:r>
      <w:r>
        <w:rPr>
          <w:rFonts w:hint="eastAsia" w:ascii="仿宋" w:hAnsi="仿宋" w:eastAsia="仿宋" w:cs="___WRD_EMBED_SUB_43"/>
          <w:sz w:val="32"/>
          <w:szCs w:val="32"/>
        </w:rPr>
        <w:t>统</w:t>
      </w:r>
      <w:r>
        <w:rPr>
          <w:rFonts w:hint="eastAsia" w:ascii="仿宋" w:hAnsi="仿宋" w:eastAsia="仿宋" w:cs="DengXian-Regular"/>
          <w:sz w:val="32"/>
          <w:szCs w:val="32"/>
        </w:rPr>
        <w:t>自动提取并四舍五入计算的结果，个别数据合计项与分项之和存在小数点后差额，特此说明。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-1008380</wp:posOffset>
            </wp:positionH>
            <wp:positionV relativeFrom="paragraph">
              <wp:posOffset>-1341120</wp:posOffset>
            </wp:positionV>
            <wp:extent cx="7550150" cy="10680065"/>
            <wp:effectExtent l="0" t="0" r="0" b="762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0150" cy="10679808"/>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6950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spacing w:after="0" w:line="560" w:lineRule="exact"/>
        <w:ind w:firstLine="640" w:firstLineChars="200"/>
        <w:rPr>
          <w:rFonts w:ascii="楷体" w:hAnsi="楷体" w:eastAsia="楷体"/>
          <w:bCs/>
          <w:color w:val="000000"/>
          <w:kern w:val="0"/>
          <w:sz w:val="32"/>
          <w:szCs w:val="32"/>
        </w:rPr>
      </w:pPr>
      <w:r>
        <w:rPr>
          <w:rFonts w:ascii="楷体" w:hAnsi="楷体" w:eastAsia="楷体"/>
          <w:bCs/>
          <w:color w:val="000000"/>
          <w:kern w:val="0"/>
          <w:sz w:val="32"/>
          <w:szCs w:val="32"/>
        </w:rPr>
        <w:pict>
          <v:rect id="_x0000_s1103" o:spid="_x0000_s1103" o:spt="1" style="position:absolute;left:0pt;margin-left:2.85pt;margin-top:-45.15pt;height:36.9pt;width:235.9pt;z-index:251681792;v-text-anchor:middle;mso-width-relative:page;mso-height-relative:page;" fillcolor="#D9D9D9" filled="t" stroked="f" coordsize="21600,21600" o:gfxdata="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pX0ldkAAAAL&#10;AQAADwAAAAAAAAABACAAAAAiAAAAZHJzL2Rvd25yZXYueG1sUEsBAhQAFAAAAAgAh07iQJGVV5lU&#10;AgAAigQAAA4AAAAAAAAAAQAgAAAAKAEAAGRycy9lMm9Eb2MueG1sUEsFBgAAAAAGAAYAWQEAAO4F&#10;AAAAAA==&#10;">
            <v:path/>
            <v:fill on="t" focussize="0,0"/>
            <v:stroke on="f" weight="2pt"/>
            <v:imagedata o:title=""/>
            <o:lock v:ext="edit"/>
          </v:rect>
        </w:pict>
      </w:r>
      <w:r>
        <w:rPr>
          <w:rFonts w:ascii="楷体" w:hAnsi="楷体" w:eastAsia="楷体"/>
          <w:bCs/>
          <w:color w:val="000000"/>
          <w:kern w:val="0"/>
          <w:sz w:val="32"/>
          <w:szCs w:val="32"/>
        </w:rPr>
        <w:pict>
          <v:rect id="_x0000_s1104" o:spid="_x0000_s1104" o:spt="1" style="position:absolute;left:0pt;margin-left:3.55pt;margin-top:-35.4pt;height:35.3pt;width:228.8pt;z-index:251682816;v-text-anchor:middle;mso-width-relative:page;mso-height-relative:page;" fillcolor="#003F77" filled="t" stroked="t" coordsize="21600,21600" o:gfxdata="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Uy/gn2QAAAAoBAAAPAAAAAAAAAAEAIAAAACIAAABkcnMvZG93bnJldi54bWxQSwECFAAU&#10;AAAACACHTuJAg5lZ4tQCAABABgAADgAAAAAAAAABACAAAAAoAQAAZHJzL2Uyb0RvYy54bWxQSwUG&#10;AAAAAAYABgBZAQAAbgYAAAAA&#10;">
            <v:path/>
            <v:fill type="gradient" on="t" color2="#0072CE" colors="0f #003F77;32768f #005FAD;65536f #0072CE" angle="180" focus="100%" focussize="0f,0f" rotate="t"/>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pict>
      </w:r>
    </w:p>
    <w:p>
      <w:pPr>
        <w:spacing w:after="0" w:line="560" w:lineRule="exact"/>
        <w:ind w:firstLine="640" w:firstLineChars="200"/>
        <w:rPr>
          <w:rFonts w:ascii="仿宋" w:hAnsi="仿宋" w:eastAsia="仿宋"/>
          <w:color w:val="000000"/>
          <w:kern w:val="0"/>
          <w:sz w:val="32"/>
          <w:szCs w:val="32"/>
        </w:rPr>
      </w:pPr>
      <w:r>
        <w:rPr>
          <w:rFonts w:hint="eastAsia" w:ascii="楷体" w:hAnsi="楷体" w:eastAsia="楷体"/>
          <w:bCs/>
          <w:color w:val="000000"/>
          <w:kern w:val="0"/>
          <w:sz w:val="32"/>
          <w:szCs w:val="32"/>
        </w:rPr>
        <w:t>（一）财政拨款收入：</w:t>
      </w:r>
      <w:r>
        <w:rPr>
          <w:rFonts w:hint="eastAsia" w:ascii="仿宋" w:hAnsi="仿宋" w:eastAsia="仿宋"/>
          <w:color w:val="000000"/>
          <w:kern w:val="0"/>
          <w:sz w:val="32"/>
          <w:szCs w:val="32"/>
        </w:rPr>
        <w:t>本年度从本级财政部门取得的财政拨款，包括一般公共预算财政拨款和政府性基金预算财政拨款。</w:t>
      </w:r>
    </w:p>
    <w:p>
      <w:pPr>
        <w:spacing w:after="0" w:line="560" w:lineRule="exact"/>
        <w:ind w:firstLine="640" w:firstLineChars="200"/>
        <w:rPr>
          <w:rFonts w:ascii="仿宋" w:hAnsi="仿宋" w:eastAsia="仿宋"/>
          <w:color w:val="000000"/>
          <w:kern w:val="0"/>
          <w:sz w:val="32"/>
          <w:szCs w:val="32"/>
        </w:rPr>
      </w:pPr>
      <w:r>
        <w:rPr>
          <w:rFonts w:hint="eastAsia" w:ascii="楷体" w:hAnsi="楷体" w:eastAsia="楷体"/>
          <w:bCs/>
          <w:color w:val="000000"/>
          <w:kern w:val="0"/>
          <w:sz w:val="32"/>
          <w:szCs w:val="32"/>
        </w:rPr>
        <w:t>（二）年初结转和结余：</w:t>
      </w:r>
      <w:r>
        <w:rPr>
          <w:rFonts w:hint="eastAsia" w:ascii="仿宋" w:hAnsi="仿宋" w:eastAsia="仿宋"/>
          <w:color w:val="000000"/>
          <w:kern w:val="0"/>
          <w:sz w:val="32"/>
          <w:szCs w:val="32"/>
        </w:rPr>
        <w:t>指以前年度尚未完成、结转到本年仍按原规定用途继续使用的资金，或项目已完成等产生的结余资金。</w:t>
      </w:r>
    </w:p>
    <w:p>
      <w:pPr>
        <w:spacing w:after="0" w:line="560" w:lineRule="exact"/>
        <w:ind w:firstLine="640" w:firstLineChars="200"/>
        <w:rPr>
          <w:rFonts w:ascii="仿宋" w:hAnsi="仿宋" w:eastAsia="仿宋"/>
          <w:color w:val="000000"/>
          <w:kern w:val="0"/>
          <w:sz w:val="32"/>
          <w:szCs w:val="32"/>
        </w:rPr>
      </w:pPr>
      <w:r>
        <w:rPr>
          <w:rFonts w:hint="eastAsia" w:ascii="楷体" w:hAnsi="楷体" w:eastAsia="楷体"/>
          <w:bCs/>
          <w:color w:val="000000"/>
          <w:kern w:val="0"/>
          <w:sz w:val="32"/>
          <w:szCs w:val="32"/>
        </w:rPr>
        <w:t>（三）年末结转和结余：</w:t>
      </w:r>
      <w:r>
        <w:rPr>
          <w:rFonts w:hint="eastAsia" w:ascii="仿宋" w:hAnsi="仿宋" w:eastAsia="仿宋"/>
          <w:color w:val="000000"/>
          <w:kern w:val="0"/>
          <w:sz w:val="32"/>
          <w:szCs w:val="32"/>
        </w:rPr>
        <w:t>指单位按有关规定结转到下年或以后年度继续使用的资金，或项目已完成等产生的结余资金。</w:t>
      </w:r>
    </w:p>
    <w:p>
      <w:pPr>
        <w:spacing w:after="0" w:line="560" w:lineRule="exact"/>
        <w:ind w:firstLine="640" w:firstLineChars="200"/>
        <w:rPr>
          <w:rFonts w:ascii="仿宋" w:hAnsi="仿宋" w:eastAsia="仿宋"/>
          <w:color w:val="000000"/>
          <w:kern w:val="0"/>
          <w:sz w:val="32"/>
          <w:szCs w:val="32"/>
        </w:rPr>
      </w:pPr>
      <w:r>
        <w:rPr>
          <w:rFonts w:hint="eastAsia" w:ascii="楷体" w:hAnsi="楷体" w:eastAsia="楷体"/>
          <w:bCs/>
          <w:color w:val="000000"/>
          <w:kern w:val="0"/>
          <w:sz w:val="32"/>
          <w:szCs w:val="32"/>
        </w:rPr>
        <w:t>（四）基本支出：</w:t>
      </w:r>
      <w:r>
        <w:rPr>
          <w:rFonts w:hint="eastAsia" w:ascii="仿宋" w:hAnsi="仿宋" w:eastAsia="仿宋"/>
          <w:color w:val="000000"/>
          <w:kern w:val="0"/>
          <w:sz w:val="32"/>
          <w:szCs w:val="32"/>
        </w:rPr>
        <w:t>填列单位为保障机构正常运转、完成日常工作任务而发生的各项支出。</w:t>
      </w:r>
    </w:p>
    <w:p>
      <w:pPr>
        <w:spacing w:after="0" w:line="560" w:lineRule="exact"/>
        <w:ind w:firstLine="640" w:firstLineChars="200"/>
        <w:rPr>
          <w:rFonts w:ascii="仿宋" w:hAnsi="仿宋" w:eastAsia="仿宋"/>
          <w:color w:val="000000"/>
          <w:kern w:val="0"/>
          <w:sz w:val="32"/>
          <w:szCs w:val="32"/>
        </w:rPr>
      </w:pPr>
      <w:r>
        <w:rPr>
          <w:rFonts w:hint="eastAsia" w:ascii="楷体" w:hAnsi="楷体" w:eastAsia="楷体"/>
          <w:bCs/>
          <w:color w:val="000000"/>
          <w:kern w:val="0"/>
          <w:sz w:val="32"/>
          <w:szCs w:val="32"/>
        </w:rPr>
        <w:t>（五）项目支出：</w:t>
      </w:r>
      <w:r>
        <w:rPr>
          <w:rFonts w:hint="eastAsia" w:ascii="仿宋" w:hAnsi="仿宋" w:eastAsia="仿宋"/>
          <w:color w:val="000000"/>
          <w:kern w:val="0"/>
          <w:sz w:val="32"/>
          <w:szCs w:val="32"/>
        </w:rPr>
        <w:t>填列单位为完成特定的行政工作任务或事业发展目标，在基本支出之外发生的各项支出</w:t>
      </w:r>
    </w:p>
    <w:p>
      <w:pPr>
        <w:spacing w:after="0" w:line="560" w:lineRule="exact"/>
        <w:ind w:firstLine="640" w:firstLineChars="200"/>
        <w:rPr>
          <w:rFonts w:ascii="仿宋" w:hAnsi="仿宋" w:eastAsia="仿宋"/>
          <w:color w:val="000000"/>
          <w:kern w:val="0"/>
          <w:sz w:val="32"/>
          <w:szCs w:val="32"/>
        </w:rPr>
      </w:pPr>
      <w:r>
        <w:rPr>
          <w:rFonts w:hint="eastAsia" w:ascii="楷体" w:hAnsi="楷体" w:eastAsia="楷体"/>
          <w:bCs/>
          <w:color w:val="000000"/>
          <w:kern w:val="0"/>
          <w:sz w:val="32"/>
          <w:szCs w:val="32"/>
        </w:rPr>
        <w:t>（六）资本性支出：</w:t>
      </w:r>
      <w:r>
        <w:rPr>
          <w:rFonts w:hint="eastAsia" w:ascii="仿宋" w:hAnsi="仿宋" w:eastAsia="仿宋"/>
          <w:color w:val="000000"/>
          <w:kern w:val="0"/>
          <w:sz w:val="32"/>
          <w:szCs w:val="32"/>
        </w:rPr>
        <w:t>填列各单位安排的资本性支出。切块由发展改革部门安排的基本建设支出不在此科目反映。</w:t>
      </w:r>
    </w:p>
    <w:p>
      <w:pPr>
        <w:spacing w:after="0" w:line="560" w:lineRule="exact"/>
        <w:ind w:firstLine="640" w:firstLineChars="200"/>
        <w:rPr>
          <w:rFonts w:ascii="仿宋" w:hAnsi="仿宋" w:eastAsia="仿宋"/>
          <w:color w:val="000000"/>
          <w:kern w:val="0"/>
          <w:sz w:val="32"/>
          <w:szCs w:val="32"/>
        </w:rPr>
      </w:pPr>
      <w:r>
        <w:rPr>
          <w:rFonts w:hint="eastAsia" w:ascii="楷体" w:hAnsi="楷体" w:eastAsia="楷体"/>
          <w:bCs/>
          <w:color w:val="000000"/>
          <w:kern w:val="0"/>
          <w:sz w:val="32"/>
          <w:szCs w:val="32"/>
        </w:rPr>
        <w:t>（七）“三公”经费：</w:t>
      </w:r>
      <w:r>
        <w:rPr>
          <w:rFonts w:hint="eastAsia" w:ascii="仿宋" w:hAnsi="仿宋" w:eastAsia="仿宋"/>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spacing w:after="0" w:line="560" w:lineRule="exact"/>
        <w:ind w:firstLine="640" w:firstLineChars="200"/>
        <w:rPr>
          <w:rFonts w:ascii="仿宋" w:hAnsi="仿宋" w:eastAsia="仿宋"/>
          <w:color w:val="000000"/>
          <w:kern w:val="0"/>
          <w:sz w:val="32"/>
          <w:szCs w:val="32"/>
        </w:rPr>
      </w:pPr>
      <w:r>
        <w:rPr>
          <w:rFonts w:hint="eastAsia" w:ascii="楷体" w:hAnsi="楷体" w:eastAsia="楷体"/>
          <w:bCs/>
          <w:color w:val="000000"/>
          <w:kern w:val="0"/>
          <w:sz w:val="32"/>
          <w:szCs w:val="32"/>
        </w:rPr>
        <w:t>（八）其他交通费用：</w:t>
      </w:r>
      <w:r>
        <w:rPr>
          <w:rFonts w:hint="eastAsia" w:ascii="仿宋" w:hAnsi="仿宋" w:eastAsia="仿宋"/>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0" w:firstLineChars="200"/>
        <w:rPr>
          <w:rFonts w:ascii="仿宋" w:hAnsi="仿宋" w:eastAsia="仿宋"/>
          <w:color w:val="000000"/>
          <w:kern w:val="0"/>
          <w:sz w:val="32"/>
          <w:szCs w:val="32"/>
        </w:rPr>
      </w:pPr>
      <w:r>
        <w:rPr>
          <w:rFonts w:hint="eastAsia" w:ascii="楷体" w:hAnsi="楷体" w:eastAsia="楷体"/>
          <w:bCs/>
          <w:color w:val="000000"/>
          <w:kern w:val="0"/>
          <w:sz w:val="32"/>
          <w:szCs w:val="32"/>
        </w:rPr>
        <w:t>（九）公务用车购置：</w:t>
      </w:r>
      <w:r>
        <w:rPr>
          <w:rFonts w:hint="eastAsia" w:ascii="仿宋" w:hAnsi="仿宋" w:eastAsia="仿宋"/>
          <w:color w:val="000000"/>
          <w:kern w:val="0"/>
          <w:sz w:val="32"/>
          <w:szCs w:val="32"/>
        </w:rPr>
        <w:t>填列单位公务用车购置支出（含车辆购置税、牌照费）。</w:t>
      </w:r>
    </w:p>
    <w:p>
      <w:pPr>
        <w:widowControl/>
        <w:spacing w:after="0" w:line="560" w:lineRule="exact"/>
        <w:ind w:firstLine="640" w:firstLineChars="200"/>
        <w:rPr>
          <w:rFonts w:ascii="仿宋" w:hAnsi="仿宋" w:eastAsia="仿宋"/>
          <w:color w:val="000000"/>
          <w:kern w:val="0"/>
          <w:sz w:val="32"/>
          <w:szCs w:val="32"/>
        </w:rPr>
      </w:pPr>
      <w:r>
        <w:rPr>
          <w:rFonts w:hint="eastAsia" w:ascii="楷体" w:hAnsi="楷体" w:eastAsia="楷体"/>
          <w:bCs/>
          <w:color w:val="000000"/>
          <w:kern w:val="0"/>
          <w:sz w:val="32"/>
          <w:szCs w:val="32"/>
        </w:rPr>
        <w:t>（十）其他交通工具购置：</w:t>
      </w:r>
      <w:r>
        <w:rPr>
          <w:rFonts w:hint="eastAsia" w:ascii="仿宋" w:hAnsi="仿宋" w:eastAsia="仿宋"/>
          <w:color w:val="000000"/>
          <w:kern w:val="0"/>
          <w:sz w:val="32"/>
          <w:szCs w:val="32"/>
        </w:rPr>
        <w:t>填列单位除公务用车外的其他各类交通工具（如船舶、飞机）购置支出（含车辆购置税、牌照费）。</w:t>
      </w:r>
    </w:p>
    <w:p>
      <w:pPr>
        <w:widowControl/>
        <w:spacing w:after="0" w:line="560" w:lineRule="exact"/>
        <w:ind w:firstLine="640" w:firstLineChars="200"/>
        <w:rPr>
          <w:rFonts w:ascii="仿宋" w:hAnsi="仿宋" w:eastAsia="仿宋"/>
          <w:color w:val="000000"/>
          <w:kern w:val="0"/>
          <w:sz w:val="32"/>
          <w:szCs w:val="32"/>
        </w:rPr>
      </w:pPr>
      <w:r>
        <w:rPr>
          <w:rFonts w:hint="eastAsia" w:ascii="楷体" w:hAnsi="楷体" w:eastAsia="楷体"/>
          <w:bCs/>
          <w:color w:val="000000"/>
          <w:kern w:val="0"/>
          <w:sz w:val="32"/>
          <w:szCs w:val="32"/>
        </w:rPr>
        <w:t>（十一）机关运行经费：</w:t>
      </w:r>
      <w:r>
        <w:rPr>
          <w:rFonts w:hint="eastAsia" w:ascii="仿宋" w:hAnsi="仿宋" w:eastAsia="仿宋"/>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0" w:firstLineChars="200"/>
        <w:rPr>
          <w:rFonts w:ascii="仿宋" w:hAnsi="仿宋" w:eastAsia="仿宋"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楷体" w:hAnsi="楷体" w:eastAsia="楷体"/>
          <w:bCs/>
          <w:color w:val="000000"/>
          <w:kern w:val="0"/>
          <w:sz w:val="32"/>
          <w:szCs w:val="32"/>
        </w:rPr>
        <w:t>（十二）经费形式:</w:t>
      </w:r>
      <w:r>
        <w:rPr>
          <w:rFonts w:hint="eastAsia" w:ascii="仿宋" w:hAnsi="仿宋" w:eastAsia="仿宋"/>
          <w:color w:val="000000"/>
          <w:kern w:val="0"/>
          <w:sz w:val="32"/>
          <w:szCs w:val="32"/>
        </w:rPr>
        <w:t>按照经费来源，</w:t>
      </w:r>
      <w:r>
        <w:rPr>
          <w:rFonts w:hint="eastAsia" w:ascii="仿宋" w:hAnsi="仿宋" w:eastAsia="仿宋" w:cs="ArialUnicodeMS"/>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5408"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E1B890C-D6BD-40EF-ABA0-96BE83269E5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E84D4ED1-622B-4C81-A050-2C7985BE0D5C}"/>
  </w:font>
  <w:font w:name="Cambria">
    <w:panose1 w:val="02040503050406030204"/>
    <w:charset w:val="00"/>
    <w:family w:val="roman"/>
    <w:pitch w:val="default"/>
    <w:sig w:usb0="E00002FF" w:usb1="400004FF" w:usb2="00000000" w:usb3="00000000" w:csb0="2000019F" w:csb1="00000000"/>
    <w:embedRegular r:id="rId3" w:fontKey="{5A0D9C55-2956-4960-AA42-0C7C7EFE9037}"/>
  </w:font>
  <w:font w:name="楷体">
    <w:panose1 w:val="02010609060101010101"/>
    <w:charset w:val="86"/>
    <w:family w:val="modern"/>
    <w:pitch w:val="default"/>
    <w:sig w:usb0="800002BF" w:usb1="38CF7CFA" w:usb2="00000016" w:usb3="00000000" w:csb0="00040001" w:csb1="00000000"/>
    <w:embedRegular r:id="rId4" w:fontKey="{9DA3E5BE-4EDF-4953-B7BD-77044178F58F}"/>
  </w:font>
  <w:font w:name="仿宋_GB2312">
    <w:panose1 w:val="02010609030101010101"/>
    <w:charset w:val="86"/>
    <w:family w:val="auto"/>
    <w:pitch w:val="default"/>
    <w:sig w:usb0="00000001" w:usb1="080E0000" w:usb2="00000000" w:usb3="00000000" w:csb0="00040000" w:csb1="00000000"/>
    <w:embedRegular r:id="rId5" w:fontKey="{FA7FFA60-3284-4199-8B68-37B049F7A31F}"/>
  </w:font>
  <w:font w:name="ArialUnicodeMS">
    <w:altName w:val="Malgun Gothic"/>
    <w:panose1 w:val="00000000000000000000"/>
    <w:charset w:val="81"/>
    <w:family w:val="auto"/>
    <w:pitch w:val="default"/>
    <w:sig w:usb0="00000000" w:usb1="00000000" w:usb2="00000010" w:usb3="00000000" w:csb0="00080001" w:csb1="00000000"/>
    <w:embedRegular r:id="rId6" w:fontKey="{842F236E-0153-4287-8752-F827B3FB1065}"/>
  </w:font>
  <w:font w:name="Malgun Gothic">
    <w:panose1 w:val="020B0503020000020004"/>
    <w:charset w:val="81"/>
    <w:family w:val="auto"/>
    <w:pitch w:val="default"/>
    <w:sig w:usb0="900002AF" w:usb1="01D77CFB" w:usb2="00000012" w:usb3="00000000" w:csb0="00080001" w:csb1="00000000"/>
  </w:font>
  <w:font w:name="仿宋">
    <w:panose1 w:val="02010609060101010101"/>
    <w:charset w:val="86"/>
    <w:family w:val="modern"/>
    <w:pitch w:val="default"/>
    <w:sig w:usb0="800002BF" w:usb1="38CF7CFA" w:usb2="00000016" w:usb3="00000000" w:csb0="00040001" w:csb1="00000000"/>
    <w:embedRegular r:id="rId7" w:fontKey="{4C79A890-ECF3-41BD-872A-9C894762C9DB}"/>
  </w:font>
  <w:font w:name="MS-UIGothic,Bold">
    <w:altName w:val="Malgun Gothic"/>
    <w:panose1 w:val="00000000000000000000"/>
    <w:charset w:val="81"/>
    <w:family w:val="auto"/>
    <w:pitch w:val="default"/>
    <w:sig w:usb0="00000000" w:usb1="00000000" w:usb2="00000010" w:usb3="00000000" w:csb0="00080000" w:csb1="00000000"/>
    <w:embedRegular r:id="rId8" w:fontKey="{6B29A07F-AE8D-44B8-9012-A81C7DED055B}"/>
  </w:font>
  <w:font w:name="DengXian-Regular">
    <w:altName w:val="宋体"/>
    <w:panose1 w:val="00000000000000000000"/>
    <w:charset w:val="86"/>
    <w:family w:val="auto"/>
    <w:pitch w:val="default"/>
    <w:sig w:usb0="00000000" w:usb1="00000000" w:usb2="00000010" w:usb3="00000000" w:csb0="00040001" w:csb1="00000000"/>
    <w:embedRegular r:id="rId9" w:fontKey="{0FA00CF6-0E9F-4F19-A85B-3A930E6787E8}"/>
  </w:font>
  <w:font w:name="微软雅黑">
    <w:panose1 w:val="020B0503020204020204"/>
    <w:charset w:val="86"/>
    <w:family w:val="swiss"/>
    <w:pitch w:val="default"/>
    <w:sig w:usb0="80000287" w:usb1="280F3C52" w:usb2="00000016" w:usb3="00000000" w:csb0="0004001F" w:csb1="00000000"/>
    <w:embedRegular r:id="rId10" w:fontKey="{79D45E87-9191-4761-BBC4-E8C631C19EAA}"/>
  </w:font>
  <w:font w:name="___WRD_EMBED_SUB_47">
    <w:altName w:val="宋体"/>
    <w:panose1 w:val="00000000000000000000"/>
    <w:charset w:val="86"/>
    <w:family w:val="auto"/>
    <w:pitch w:val="default"/>
    <w:sig w:usb0="00000000" w:usb1="00000000" w:usb2="00000010" w:usb3="00000000" w:csb0="00040001" w:csb1="00000000"/>
    <w:embedRegular r:id="rId11" w:fontKey="{67323C38-4B73-4BE8-87F6-3BC3D77FDA70}"/>
  </w:font>
  <w:font w:name="DengXian-Bold">
    <w:altName w:val="宋体"/>
    <w:panose1 w:val="00000000000000000000"/>
    <w:charset w:val="86"/>
    <w:family w:val="auto"/>
    <w:pitch w:val="default"/>
    <w:sig w:usb0="00000000" w:usb1="00000000" w:usb2="00000010" w:usb3="00000000" w:csb0="00040001" w:csb1="00000000"/>
    <w:embedRegular r:id="rId12" w:fontKey="{68781683-06AD-4D1D-9B2E-9B143B249189}"/>
  </w:font>
  <w:font w:name="___WRD_EMBED_SUB_43">
    <w:altName w:val="黑体"/>
    <w:panose1 w:val="00000000000000000000"/>
    <w:charset w:val="86"/>
    <w:family w:val="modern"/>
    <w:pitch w:val="default"/>
    <w:sig w:usb0="00000000" w:usb1="00000000" w:usb2="00000010" w:usb3="00000000" w:csb0="00040000" w:csb1="00000000"/>
    <w:embedRegular r:id="rId13" w:fontKey="{36AEC36F-EDC7-49CE-9C88-048EA6C1F028}"/>
  </w:font>
  <w:font w:name="Gulim">
    <w:panose1 w:val="020B0600000101010101"/>
    <w:charset w:val="81"/>
    <w:family w:val="auto"/>
    <w:pitch w:val="default"/>
    <w:sig w:usb0="B00002AF" w:usb1="69D77CFB" w:usb2="00000030" w:usb3="00000000" w:csb0="4008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lhMzQ2ZDJjZDE2NjE1YmNmNmVmYzc0NTFjZWI5OWEifQ=="/>
  </w:docVars>
  <w:rsids>
    <w:rsidRoot w:val="003C1413"/>
    <w:rsid w:val="000150C4"/>
    <w:rsid w:val="00015FFB"/>
    <w:rsid w:val="000173F1"/>
    <w:rsid w:val="00024E7F"/>
    <w:rsid w:val="000475A0"/>
    <w:rsid w:val="000538BB"/>
    <w:rsid w:val="00065C22"/>
    <w:rsid w:val="00071A73"/>
    <w:rsid w:val="000838C3"/>
    <w:rsid w:val="00087189"/>
    <w:rsid w:val="00095B69"/>
    <w:rsid w:val="00097887"/>
    <w:rsid w:val="000B2446"/>
    <w:rsid w:val="000D420E"/>
    <w:rsid w:val="000D4CFC"/>
    <w:rsid w:val="000D7C65"/>
    <w:rsid w:val="000E2F81"/>
    <w:rsid w:val="0010754C"/>
    <w:rsid w:val="0011264D"/>
    <w:rsid w:val="00117946"/>
    <w:rsid w:val="00117E2C"/>
    <w:rsid w:val="00140BD7"/>
    <w:rsid w:val="00146C47"/>
    <w:rsid w:val="00152FB8"/>
    <w:rsid w:val="00157843"/>
    <w:rsid w:val="001620C9"/>
    <w:rsid w:val="00173D26"/>
    <w:rsid w:val="00176658"/>
    <w:rsid w:val="0018239E"/>
    <w:rsid w:val="00190421"/>
    <w:rsid w:val="001A20FF"/>
    <w:rsid w:val="001B3410"/>
    <w:rsid w:val="001B62D8"/>
    <w:rsid w:val="001C030D"/>
    <w:rsid w:val="001C11ED"/>
    <w:rsid w:val="001C4A84"/>
    <w:rsid w:val="001D1822"/>
    <w:rsid w:val="001E05A7"/>
    <w:rsid w:val="001E5902"/>
    <w:rsid w:val="00233705"/>
    <w:rsid w:val="00275CA2"/>
    <w:rsid w:val="002879C6"/>
    <w:rsid w:val="00287AF7"/>
    <w:rsid w:val="002A65A5"/>
    <w:rsid w:val="002B0E6D"/>
    <w:rsid w:val="002B2214"/>
    <w:rsid w:val="002C04C4"/>
    <w:rsid w:val="002C1318"/>
    <w:rsid w:val="002D05A8"/>
    <w:rsid w:val="002D08B0"/>
    <w:rsid w:val="002D1AE3"/>
    <w:rsid w:val="002D1FD2"/>
    <w:rsid w:val="002F2ECE"/>
    <w:rsid w:val="002F7761"/>
    <w:rsid w:val="0032085A"/>
    <w:rsid w:val="00322487"/>
    <w:rsid w:val="003238BE"/>
    <w:rsid w:val="00332D6B"/>
    <w:rsid w:val="00341033"/>
    <w:rsid w:val="00341C8F"/>
    <w:rsid w:val="00347055"/>
    <w:rsid w:val="003539C8"/>
    <w:rsid w:val="0035463A"/>
    <w:rsid w:val="00360CB7"/>
    <w:rsid w:val="0036146C"/>
    <w:rsid w:val="00364759"/>
    <w:rsid w:val="0038378C"/>
    <w:rsid w:val="00391D9D"/>
    <w:rsid w:val="003B6C51"/>
    <w:rsid w:val="003C1413"/>
    <w:rsid w:val="003C549F"/>
    <w:rsid w:val="003D5514"/>
    <w:rsid w:val="003D5A16"/>
    <w:rsid w:val="003E7DB3"/>
    <w:rsid w:val="00406A3D"/>
    <w:rsid w:val="00427CD8"/>
    <w:rsid w:val="00431175"/>
    <w:rsid w:val="00444E52"/>
    <w:rsid w:val="00456E4E"/>
    <w:rsid w:val="0047389A"/>
    <w:rsid w:val="004943B8"/>
    <w:rsid w:val="004A3272"/>
    <w:rsid w:val="004B6E37"/>
    <w:rsid w:val="004C09CB"/>
    <w:rsid w:val="004C32BA"/>
    <w:rsid w:val="004C787B"/>
    <w:rsid w:val="004D6890"/>
    <w:rsid w:val="004E5B6E"/>
    <w:rsid w:val="004F5B09"/>
    <w:rsid w:val="00524B8E"/>
    <w:rsid w:val="00553A67"/>
    <w:rsid w:val="00555A2F"/>
    <w:rsid w:val="00560E54"/>
    <w:rsid w:val="00575922"/>
    <w:rsid w:val="00580736"/>
    <w:rsid w:val="00596BD6"/>
    <w:rsid w:val="005A6C90"/>
    <w:rsid w:val="005D02D4"/>
    <w:rsid w:val="005E3FB0"/>
    <w:rsid w:val="005F23AE"/>
    <w:rsid w:val="005F4B66"/>
    <w:rsid w:val="005F5208"/>
    <w:rsid w:val="0061148E"/>
    <w:rsid w:val="00613BBF"/>
    <w:rsid w:val="00622BF0"/>
    <w:rsid w:val="00633B28"/>
    <w:rsid w:val="006360B8"/>
    <w:rsid w:val="00641318"/>
    <w:rsid w:val="0064405D"/>
    <w:rsid w:val="00646FD0"/>
    <w:rsid w:val="00647808"/>
    <w:rsid w:val="0065155C"/>
    <w:rsid w:val="00666478"/>
    <w:rsid w:val="006675D4"/>
    <w:rsid w:val="00670945"/>
    <w:rsid w:val="00670E19"/>
    <w:rsid w:val="006865CD"/>
    <w:rsid w:val="00695557"/>
    <w:rsid w:val="006B2132"/>
    <w:rsid w:val="006D236B"/>
    <w:rsid w:val="006D4EA7"/>
    <w:rsid w:val="006E2F43"/>
    <w:rsid w:val="0070012A"/>
    <w:rsid w:val="0070664B"/>
    <w:rsid w:val="007071B8"/>
    <w:rsid w:val="007318EA"/>
    <w:rsid w:val="007414DE"/>
    <w:rsid w:val="00755BB2"/>
    <w:rsid w:val="00760798"/>
    <w:rsid w:val="007714DB"/>
    <w:rsid w:val="007815B1"/>
    <w:rsid w:val="007905A9"/>
    <w:rsid w:val="007918DD"/>
    <w:rsid w:val="007E5500"/>
    <w:rsid w:val="007F055B"/>
    <w:rsid w:val="00811C2F"/>
    <w:rsid w:val="00833D07"/>
    <w:rsid w:val="00833D46"/>
    <w:rsid w:val="00835CD2"/>
    <w:rsid w:val="00840A97"/>
    <w:rsid w:val="0088619F"/>
    <w:rsid w:val="00895882"/>
    <w:rsid w:val="0089773F"/>
    <w:rsid w:val="008B60FC"/>
    <w:rsid w:val="008C0149"/>
    <w:rsid w:val="008D1B00"/>
    <w:rsid w:val="008D5DED"/>
    <w:rsid w:val="008E25CA"/>
    <w:rsid w:val="008F34FC"/>
    <w:rsid w:val="00902BBA"/>
    <w:rsid w:val="00911B16"/>
    <w:rsid w:val="00921E30"/>
    <w:rsid w:val="00925BEB"/>
    <w:rsid w:val="00944CD7"/>
    <w:rsid w:val="009552C4"/>
    <w:rsid w:val="00975C88"/>
    <w:rsid w:val="00982AAB"/>
    <w:rsid w:val="009831B2"/>
    <w:rsid w:val="009A1ABE"/>
    <w:rsid w:val="009B2EE0"/>
    <w:rsid w:val="009C0092"/>
    <w:rsid w:val="009C2065"/>
    <w:rsid w:val="009E21A4"/>
    <w:rsid w:val="009F0F5E"/>
    <w:rsid w:val="009F22C6"/>
    <w:rsid w:val="00A07E50"/>
    <w:rsid w:val="00A1502A"/>
    <w:rsid w:val="00A15397"/>
    <w:rsid w:val="00A23266"/>
    <w:rsid w:val="00A31CED"/>
    <w:rsid w:val="00A32B3F"/>
    <w:rsid w:val="00A35CE0"/>
    <w:rsid w:val="00A4462E"/>
    <w:rsid w:val="00A44AA4"/>
    <w:rsid w:val="00A45D88"/>
    <w:rsid w:val="00A61623"/>
    <w:rsid w:val="00A663C9"/>
    <w:rsid w:val="00A73227"/>
    <w:rsid w:val="00A84687"/>
    <w:rsid w:val="00AA2ABA"/>
    <w:rsid w:val="00AB0A0E"/>
    <w:rsid w:val="00AC3A87"/>
    <w:rsid w:val="00AD3B6E"/>
    <w:rsid w:val="00AE239A"/>
    <w:rsid w:val="00B103B4"/>
    <w:rsid w:val="00B1751F"/>
    <w:rsid w:val="00B24B2A"/>
    <w:rsid w:val="00B32399"/>
    <w:rsid w:val="00B56722"/>
    <w:rsid w:val="00B604EF"/>
    <w:rsid w:val="00B74D39"/>
    <w:rsid w:val="00B82CC7"/>
    <w:rsid w:val="00B90096"/>
    <w:rsid w:val="00B91DA4"/>
    <w:rsid w:val="00BA2836"/>
    <w:rsid w:val="00BE11AD"/>
    <w:rsid w:val="00C12630"/>
    <w:rsid w:val="00C34562"/>
    <w:rsid w:val="00C3774E"/>
    <w:rsid w:val="00C45E5B"/>
    <w:rsid w:val="00C50ED1"/>
    <w:rsid w:val="00C55137"/>
    <w:rsid w:val="00C57456"/>
    <w:rsid w:val="00C577E9"/>
    <w:rsid w:val="00C65387"/>
    <w:rsid w:val="00C71C65"/>
    <w:rsid w:val="00C74AA7"/>
    <w:rsid w:val="00C87FAB"/>
    <w:rsid w:val="00C91FF7"/>
    <w:rsid w:val="00C94E53"/>
    <w:rsid w:val="00CA4016"/>
    <w:rsid w:val="00CB3A96"/>
    <w:rsid w:val="00CD2671"/>
    <w:rsid w:val="00CF00B2"/>
    <w:rsid w:val="00D0048E"/>
    <w:rsid w:val="00D030A9"/>
    <w:rsid w:val="00D16133"/>
    <w:rsid w:val="00D21D26"/>
    <w:rsid w:val="00D23E7A"/>
    <w:rsid w:val="00D27E03"/>
    <w:rsid w:val="00D34D88"/>
    <w:rsid w:val="00D356C3"/>
    <w:rsid w:val="00D55C1A"/>
    <w:rsid w:val="00D61063"/>
    <w:rsid w:val="00D80546"/>
    <w:rsid w:val="00DB3316"/>
    <w:rsid w:val="00DB35AF"/>
    <w:rsid w:val="00DC77C7"/>
    <w:rsid w:val="00DD5324"/>
    <w:rsid w:val="00DD72D7"/>
    <w:rsid w:val="00DF5B88"/>
    <w:rsid w:val="00E0589E"/>
    <w:rsid w:val="00E239CD"/>
    <w:rsid w:val="00E241FA"/>
    <w:rsid w:val="00E2595E"/>
    <w:rsid w:val="00E31F23"/>
    <w:rsid w:val="00E35374"/>
    <w:rsid w:val="00E36283"/>
    <w:rsid w:val="00E50C19"/>
    <w:rsid w:val="00E51B00"/>
    <w:rsid w:val="00E64655"/>
    <w:rsid w:val="00E73081"/>
    <w:rsid w:val="00E83170"/>
    <w:rsid w:val="00E856C9"/>
    <w:rsid w:val="00EA01EF"/>
    <w:rsid w:val="00EA0B1A"/>
    <w:rsid w:val="00EB6A8B"/>
    <w:rsid w:val="00EC17F7"/>
    <w:rsid w:val="00EC5230"/>
    <w:rsid w:val="00ED39D4"/>
    <w:rsid w:val="00EF38C6"/>
    <w:rsid w:val="00F2036C"/>
    <w:rsid w:val="00F319F3"/>
    <w:rsid w:val="00F32B83"/>
    <w:rsid w:val="00F509AE"/>
    <w:rsid w:val="00F56A52"/>
    <w:rsid w:val="00F679C7"/>
    <w:rsid w:val="00F7711A"/>
    <w:rsid w:val="00F95E8F"/>
    <w:rsid w:val="00F96BB3"/>
    <w:rsid w:val="00FA0D58"/>
    <w:rsid w:val="00FA56F4"/>
    <w:rsid w:val="00FB4D3A"/>
    <w:rsid w:val="00FB4EDA"/>
    <w:rsid w:val="00FD2B33"/>
    <w:rsid w:val="00FD3BD5"/>
    <w:rsid w:val="00FE3DC8"/>
    <w:rsid w:val="00FE7216"/>
    <w:rsid w:val="00FE78DD"/>
    <w:rsid w:val="00FF4484"/>
    <w:rsid w:val="04073F84"/>
    <w:rsid w:val="0B60750A"/>
    <w:rsid w:val="10686488"/>
    <w:rsid w:val="10DF728A"/>
    <w:rsid w:val="1264200E"/>
    <w:rsid w:val="141C5B77"/>
    <w:rsid w:val="18D8339D"/>
    <w:rsid w:val="1A041614"/>
    <w:rsid w:val="1A21388F"/>
    <w:rsid w:val="1A570D2F"/>
    <w:rsid w:val="20AA4B44"/>
    <w:rsid w:val="21DC06B0"/>
    <w:rsid w:val="28FB0B8D"/>
    <w:rsid w:val="2922426B"/>
    <w:rsid w:val="2D2B7942"/>
    <w:rsid w:val="2D46481D"/>
    <w:rsid w:val="2E733B28"/>
    <w:rsid w:val="31852B5A"/>
    <w:rsid w:val="32D01238"/>
    <w:rsid w:val="38C132B1"/>
    <w:rsid w:val="3DFC59A8"/>
    <w:rsid w:val="3E38695C"/>
    <w:rsid w:val="3E8A062A"/>
    <w:rsid w:val="3ECF245E"/>
    <w:rsid w:val="3FB96314"/>
    <w:rsid w:val="53A44FAF"/>
    <w:rsid w:val="594329EC"/>
    <w:rsid w:val="5BEE1540"/>
    <w:rsid w:val="5DE61A5D"/>
    <w:rsid w:val="63C04243"/>
    <w:rsid w:val="649C01C7"/>
    <w:rsid w:val="699A3F60"/>
    <w:rsid w:val="72902E62"/>
    <w:rsid w:val="73C61104"/>
    <w:rsid w:val="776452EA"/>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nhideWhenUsed="0" w:uiPriority="99" w:semiHidden="0" w:name="Table Professional"/>
    <w:lsdException w:uiPriority="99" w:name="Table Subtle 1"/>
    <w:lsdException w:uiPriority="99" w:name="Table Subtle 2"/>
    <w:lsdException w:unhideWhenUsed="0" w:uiPriority="99" w:semiHidden="0" w:name="Table Web 1"/>
    <w:lsdException w:unhideWhenUsed="0" w:uiPriority="99" w:semiHidden="0"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2"/>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3"/>
    <w:semiHidden/>
    <w:unhideWhenUsed/>
    <w:qFormat/>
    <w:uiPriority w:val="99"/>
    <w:pPr>
      <w:ind w:left="100" w:leftChars="2500"/>
    </w:pPr>
  </w:style>
  <w:style w:type="paragraph" w:styleId="7">
    <w:name w:val="Balloon Text"/>
    <w:basedOn w:val="1"/>
    <w:link w:val="21"/>
    <w:semiHidden/>
    <w:unhideWhenUsed/>
    <w:qFormat/>
    <w:uiPriority w:val="99"/>
    <w:rPr>
      <w:sz w:val="18"/>
      <w:szCs w:val="18"/>
    </w:rPr>
  </w:style>
  <w:style w:type="paragraph" w:styleId="8">
    <w:name w:val="footer"/>
    <w:basedOn w:val="1"/>
    <w:link w:val="18"/>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3"/>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2"/>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5">
    <w:name w:val="FollowedHyperlink"/>
    <w:basedOn w:val="14"/>
    <w:semiHidden/>
    <w:unhideWhenUsed/>
    <w:qFormat/>
    <w:uiPriority w:val="99"/>
    <w:rPr>
      <w:color w:val="FFC42F" w:themeColor="followedHyperlink"/>
      <w:u w:val="single"/>
    </w:rPr>
  </w:style>
  <w:style w:type="character" w:styleId="16">
    <w:name w:val="Hyperlink"/>
    <w:basedOn w:val="14"/>
    <w:unhideWhenUsed/>
    <w:qFormat/>
    <w:uiPriority w:val="99"/>
    <w:rPr>
      <w:color w:val="AD1F1F" w:themeColor="hyperlink"/>
      <w:u w:val="single"/>
    </w:r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99"/>
    <w:rPr>
      <w:sz w:val="18"/>
      <w:szCs w:val="18"/>
    </w:rPr>
  </w:style>
  <w:style w:type="paragraph" w:styleId="19">
    <w:name w:val="No Spacing"/>
    <w:link w:val="20"/>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20">
    <w:name w:val="无间隔 Char"/>
    <w:basedOn w:val="14"/>
    <w:link w:val="19"/>
    <w:qFormat/>
    <w:uiPriority w:val="1"/>
    <w:rPr>
      <w:kern w:val="0"/>
      <w:sz w:val="22"/>
    </w:rPr>
  </w:style>
  <w:style w:type="character" w:customStyle="1" w:styleId="21">
    <w:name w:val="批注框文本 Char"/>
    <w:basedOn w:val="14"/>
    <w:link w:val="7"/>
    <w:semiHidden/>
    <w:qFormat/>
    <w:uiPriority w:val="99"/>
    <w:rPr>
      <w:rFonts w:ascii="Times New Roman" w:hAnsi="Times New Roman" w:eastAsia="宋体" w:cs="Times New Roman"/>
      <w:sz w:val="18"/>
      <w:szCs w:val="18"/>
    </w:rPr>
  </w:style>
  <w:style w:type="character" w:customStyle="1" w:styleId="22">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3">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4">
    <w:name w:val="Style1"/>
    <w:basedOn w:val="14"/>
    <w:qFormat/>
    <w:uiPriority w:val="1"/>
    <w:rPr>
      <w:rFonts w:asciiTheme="minorHAnsi" w:hAnsiTheme="minorEastAsia" w:eastAsiaTheme="minorEastAsia" w:cstheme="minorBidi"/>
      <w:sz w:val="22"/>
      <w:szCs w:val="22"/>
      <w:lang w:eastAsia="zh-CN"/>
    </w:rPr>
  </w:style>
  <w:style w:type="character" w:customStyle="1" w:styleId="25">
    <w:name w:val="Style2"/>
    <w:basedOn w:val="14"/>
    <w:qFormat/>
    <w:uiPriority w:val="1"/>
    <w:rPr>
      <w:rFonts w:asciiTheme="minorHAnsi" w:hAnsiTheme="minorEastAsia" w:eastAsiaTheme="minorEastAsia" w:cstheme="minorBidi"/>
      <w:sz w:val="22"/>
      <w:szCs w:val="22"/>
      <w:lang w:eastAsia="zh-CN"/>
    </w:rPr>
  </w:style>
  <w:style w:type="character" w:customStyle="1" w:styleId="26">
    <w:name w:val="Style3"/>
    <w:basedOn w:val="14"/>
    <w:qFormat/>
    <w:uiPriority w:val="1"/>
    <w:rPr>
      <w:rFonts w:asciiTheme="minorHAnsi" w:hAnsiTheme="minorEastAsia" w:eastAsiaTheme="minorEastAsia" w:cstheme="minorBidi"/>
      <w:szCs w:val="22"/>
      <w:lang w:eastAsia="zh-CN"/>
    </w:rPr>
  </w:style>
  <w:style w:type="character" w:customStyle="1" w:styleId="27">
    <w:name w:val="Style4"/>
    <w:basedOn w:val="14"/>
    <w:qFormat/>
    <w:uiPriority w:val="1"/>
    <w:rPr>
      <w:rFonts w:asciiTheme="minorHAnsi" w:hAnsiTheme="minorEastAsia" w:eastAsiaTheme="minorEastAsia" w:cstheme="minorBidi"/>
      <w:szCs w:val="22"/>
      <w:lang w:eastAsia="zh-CN"/>
    </w:rPr>
  </w:style>
  <w:style w:type="character" w:customStyle="1" w:styleId="28">
    <w:name w:val="Style5"/>
    <w:basedOn w:val="14"/>
    <w:qFormat/>
    <w:uiPriority w:val="1"/>
    <w:rPr>
      <w:rFonts w:asciiTheme="minorHAnsi" w:hAnsiTheme="minorEastAsia" w:eastAsiaTheme="minorEastAsia" w:cstheme="minorBidi"/>
      <w:sz w:val="22"/>
      <w:szCs w:val="22"/>
      <w:lang w:eastAsia="zh-CN"/>
    </w:rPr>
  </w:style>
  <w:style w:type="character" w:customStyle="1" w:styleId="29">
    <w:name w:val="标题 1 Char"/>
    <w:basedOn w:val="14"/>
    <w:link w:val="2"/>
    <w:qFormat/>
    <w:uiPriority w:val="9"/>
    <w:rPr>
      <w:rFonts w:ascii="Times New Roman" w:hAnsi="Times New Roman" w:eastAsia="宋体" w:cs="Times New Roman"/>
      <w:b/>
      <w:bCs/>
      <w:kern w:val="44"/>
      <w:sz w:val="44"/>
      <w:szCs w:val="44"/>
    </w:rPr>
  </w:style>
  <w:style w:type="character" w:customStyle="1" w:styleId="30">
    <w:name w:val="标题 2 Char"/>
    <w:basedOn w:val="14"/>
    <w:link w:val="3"/>
    <w:qFormat/>
    <w:uiPriority w:val="9"/>
    <w:rPr>
      <w:rFonts w:asciiTheme="majorHAnsi" w:hAnsiTheme="majorHAnsi" w:eastAsiaTheme="majorEastAsia" w:cstheme="majorBidi"/>
      <w:b/>
      <w:bCs/>
      <w:sz w:val="32"/>
      <w:szCs w:val="32"/>
    </w:rPr>
  </w:style>
  <w:style w:type="character" w:customStyle="1" w:styleId="31">
    <w:name w:val="标题 3 Char"/>
    <w:basedOn w:val="14"/>
    <w:link w:val="4"/>
    <w:qFormat/>
    <w:uiPriority w:val="9"/>
    <w:rPr>
      <w:rFonts w:ascii="Times New Roman" w:hAnsi="Times New Roman" w:eastAsia="宋体" w:cs="Times New Roman"/>
      <w:b/>
      <w:bCs/>
      <w:sz w:val="32"/>
      <w:szCs w:val="32"/>
    </w:rPr>
  </w:style>
  <w:style w:type="character" w:customStyle="1" w:styleId="32">
    <w:name w:val="标题 4 Char"/>
    <w:basedOn w:val="14"/>
    <w:link w:val="5"/>
    <w:qFormat/>
    <w:uiPriority w:val="9"/>
    <w:rPr>
      <w:rFonts w:asciiTheme="majorHAnsi" w:hAnsiTheme="majorHAnsi" w:eastAsiaTheme="majorEastAsia" w:cstheme="majorBidi"/>
      <w:b/>
      <w:bCs/>
      <w:sz w:val="28"/>
      <w:szCs w:val="28"/>
    </w:rPr>
  </w:style>
  <w:style w:type="character" w:customStyle="1" w:styleId="33">
    <w:name w:val="日期 Char"/>
    <w:basedOn w:val="14"/>
    <w:link w:val="6"/>
    <w:semiHidden/>
    <w:qFormat/>
    <w:uiPriority w:val="99"/>
    <w:rPr>
      <w:rFonts w:ascii="Times New Roman" w:hAnsi="Times New Roman" w:eastAsia="宋体" w:cs="Times New Roman"/>
      <w:szCs w:val="24"/>
    </w:rPr>
  </w:style>
  <w:style w:type="paragraph" w:styleId="34">
    <w:name w:val="List Paragraph"/>
    <w:basedOn w:val="1"/>
    <w:unhideWhenUsed/>
    <w:qFormat/>
    <w:uiPriority w:val="99"/>
    <w:pPr>
      <w:ind w:firstLine="420" w:firstLineChars="200"/>
    </w:pPr>
  </w:style>
  <w:style w:type="paragraph" w:customStyle="1" w:styleId="35">
    <w:name w:val="p0"/>
    <w:basedOn w:val="1"/>
    <w:qFormat/>
    <w:uiPriority w:val="0"/>
    <w:pPr>
      <w:widowControl/>
      <w:spacing w:after="0" w:line="408" w:lineRule="auto"/>
      <w:ind w:left="1"/>
    </w:pPr>
    <w:rPr>
      <w:color w:val="000000"/>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Info spid="_x0000_s1097"/>
    <customShpInfo spid="_x0000_s1096"/>
    <customShpInfo spid="_x0000_s1091"/>
    <customShpInfo spid="_x0000_s1090"/>
    <customShpInfo spid="_x0000_s1089"/>
    <customShpInfo spid="_x0000_s1099"/>
    <customShpInfo spid="_x0000_s1098"/>
    <customShpInfo spid="_x0000_s1085"/>
    <customShpInfo spid="_x0000_s1083"/>
    <customShpInfo spid="_x0000_s1084"/>
    <customShpInfo spid="_x0000_s1082"/>
    <customShpInfo spid="_x0000_s1101"/>
    <customShpInfo spid="_x0000_s1102"/>
    <customShpInfo spid="_x0000_s1060"/>
    <customShpInfo spid="_x0000_s1059"/>
    <customShpInfo spid="_x0000_s1058"/>
    <customShpInfo spid="_x0000_s1036"/>
    <customShpInfo spid="_x0000_s1103"/>
    <customShpInfo spid="_x0000_s110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D5F50F-400F-4898-BF36-9F6DC438BBF1}">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22</Pages>
  <Words>5543</Words>
  <Characters>6176</Characters>
  <Lines>45</Lines>
  <Paragraphs>12</Paragraphs>
  <TotalTime>116</TotalTime>
  <ScaleCrop>false</ScaleCrop>
  <LinksUpToDate>false</LinksUpToDate>
  <CharactersWithSpaces>6251</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2019-11-05T08:17:00Z</dcterms:created>
  <dc:creator>User</dc:creator>
  <cp:lastModifiedBy>Administrator</cp:lastModifiedBy>
  <cp:lastPrinted>2019-08-02T01:01:00Z</cp:lastPrinted>
  <dcterms:modified xsi:type="dcterms:W3CDTF">2026-02-11T07:42:34Z</dcterms:modified>
  <dc:subject>石家庄市xxx部门</dc:subject>
  <dc:title>2017年度部门决算</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C6E6B0E80C264F8C9206A45E7086A2EA_12</vt:lpwstr>
  </property>
</Properties>
</file>