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C" w:rsidRPr="000F3A77" w:rsidRDefault="006A73DC" w:rsidP="006A73DC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0F3A77">
        <w:rPr>
          <w:rFonts w:ascii="方正小标宋简体" w:eastAsia="方正小标宋简体" w:hint="eastAsia"/>
          <w:sz w:val="44"/>
          <w:szCs w:val="44"/>
        </w:rPr>
        <w:t>昌黎县机关事务服务中心</w:t>
      </w:r>
      <w:r w:rsidRPr="000F3A77">
        <w:rPr>
          <w:rFonts w:ascii="方正小标宋简体" w:eastAsia="方正小标宋简体" w:hint="eastAsia"/>
          <w:sz w:val="44"/>
          <w:szCs w:val="44"/>
        </w:rPr>
        <w:br/>
        <w:t>2020年度部门整体支出绩效自评报告</w:t>
      </w:r>
    </w:p>
    <w:p w:rsidR="006A73DC" w:rsidRDefault="006A73DC" w:rsidP="006A73DC">
      <w:pPr>
        <w:spacing w:line="360" w:lineRule="auto"/>
        <w:ind w:firstLineChars="200" w:firstLine="600"/>
        <w:rPr>
          <w:rFonts w:ascii="黑体" w:eastAsia="黑体"/>
          <w:sz w:val="30"/>
        </w:rPr>
      </w:pPr>
    </w:p>
    <w:p w:rsidR="006A73DC" w:rsidRDefault="006A73DC" w:rsidP="006A73DC">
      <w:pPr>
        <w:spacing w:line="360" w:lineRule="auto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一、部门概况</w:t>
      </w:r>
    </w:p>
    <w:p w:rsidR="006A73DC" w:rsidRDefault="006A73DC" w:rsidP="006A73DC">
      <w:pPr>
        <w:spacing w:beforeLines="50" w:line="360" w:lineRule="auto"/>
        <w:ind w:firstLineChars="200" w:firstLine="600"/>
        <w:outlineLvl w:val="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（一）部门基本概况及主</w:t>
      </w:r>
      <w:r>
        <w:rPr>
          <w:rFonts w:eastAsia="仿宋_GB2312"/>
          <w:sz w:val="30"/>
        </w:rPr>
        <w:t>要职责职能</w:t>
      </w:r>
      <w:r>
        <w:rPr>
          <w:rFonts w:eastAsia="仿宋_GB2312" w:hint="eastAsia"/>
          <w:sz w:val="30"/>
        </w:rPr>
        <w:t>:</w:t>
      </w:r>
    </w:p>
    <w:p w:rsidR="006A73DC" w:rsidRPr="00534E69" w:rsidRDefault="006A73DC" w:rsidP="006A73DC">
      <w:pPr>
        <w:spacing w:beforeLines="50" w:line="360" w:lineRule="auto"/>
        <w:ind w:firstLineChars="200" w:firstLine="640"/>
        <w:outlineLvl w:val="0"/>
        <w:rPr>
          <w:rFonts w:eastAsia="仿宋_GB2312"/>
          <w:sz w:val="32"/>
          <w:szCs w:val="32"/>
        </w:rPr>
      </w:pPr>
      <w:r w:rsidRPr="00534E69">
        <w:rPr>
          <w:rFonts w:eastAsia="仿宋_GB2312" w:hint="eastAsia"/>
          <w:sz w:val="32"/>
          <w:szCs w:val="32"/>
        </w:rPr>
        <w:t>昌黎县机关事务服务中心职能主要包括两大部分：</w:t>
      </w:r>
    </w:p>
    <w:p w:rsidR="006A73DC" w:rsidRDefault="006A73DC" w:rsidP="006A73DC">
      <w:pPr>
        <w:adjustRightInd w:val="0"/>
        <w:spacing w:line="61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事务管理：管理局日常性事务；机关办公用房登记使用调配和管理；党政机关办公用房的管理和使用；全县公共机构节能监督管理；全县公务用车改革日常工作，督导检查全县公务用车制度改革工作；负责公务车辆信息化管理平台运行，承担公务车辆管理工作；县委、县政府交办的其他工作任务等。</w:t>
      </w:r>
    </w:p>
    <w:p w:rsidR="006A73DC" w:rsidRDefault="006A73DC" w:rsidP="006A73DC">
      <w:pPr>
        <w:spacing w:line="61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昌黎县市民中心综合后勤服务保障：市民中心、会议厅公共设施设备维护维修、水电暖网络通讯等供应保障以及安全保卫、卫生保洁、绿化美化、环境秩序、会务服务等综合管理服务；县政府招待所、昌黎宾馆的管理；县委、县政府交办的其他工作任务等。</w:t>
      </w:r>
    </w:p>
    <w:p w:rsidR="006A73DC" w:rsidRDefault="006A73DC" w:rsidP="006A73DC">
      <w:pPr>
        <w:spacing w:line="61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昌黎县机关事务服务中心挂靠县委办公室，为财政性资金基本保障经费事业单位，机构规格相当于正科级。机关事务管理局全额事业编制43人。机关事务管理局设7个职能股室，即办公室(含设备管理股)、财务股、行政管理股、产</w:t>
      </w:r>
      <w:r>
        <w:rPr>
          <w:rFonts w:ascii="仿宋_GB2312" w:eastAsia="仿宋_GB2312" w:hint="eastAsia"/>
          <w:sz w:val="32"/>
          <w:szCs w:val="32"/>
        </w:rPr>
        <w:lastRenderedPageBreak/>
        <w:t>业发展股、公共机构节能管理股、保卫股、公务车辆管理股。我单位为一级预算单位，无独立核算的下属预算单位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A73DC" w:rsidRPr="00534E69" w:rsidRDefault="006A73DC" w:rsidP="006A73DC">
      <w:pPr>
        <w:spacing w:line="61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</w:p>
    <w:p w:rsidR="006A73DC" w:rsidRPr="00534E69" w:rsidRDefault="006A73DC" w:rsidP="006A73DC">
      <w:pPr>
        <w:spacing w:line="610" w:lineRule="exact"/>
        <w:ind w:firstLineChars="200" w:firstLine="643"/>
        <w:jc w:val="center"/>
        <w:rPr>
          <w:rFonts w:ascii="仿宋_GB2312" w:eastAsia="仿宋_GB2312" w:hAnsi="仿宋"/>
          <w:b/>
          <w:sz w:val="32"/>
          <w:szCs w:val="32"/>
        </w:rPr>
      </w:pPr>
      <w:r w:rsidRPr="00534E69">
        <w:rPr>
          <w:rFonts w:ascii="仿宋_GB2312" w:eastAsia="仿宋_GB2312" w:hAnsi="仿宋" w:hint="eastAsia"/>
          <w:b/>
          <w:sz w:val="32"/>
          <w:szCs w:val="32"/>
        </w:rPr>
        <w:t>部门机构设置情况</w:t>
      </w:r>
    </w:p>
    <w:tbl>
      <w:tblPr>
        <w:tblpPr w:leftFromText="180" w:rightFromText="180" w:vertAnchor="text" w:horzAnchor="margin" w:tblpXSpec="center" w:tblpY="212"/>
        <w:tblW w:w="9039" w:type="dxa"/>
        <w:tblLayout w:type="fixed"/>
        <w:tblCellMar>
          <w:top w:w="64" w:type="dxa"/>
          <w:right w:w="94" w:type="dxa"/>
        </w:tblCellMar>
        <w:tblLook w:val="04A0"/>
      </w:tblPr>
      <w:tblGrid>
        <w:gridCol w:w="3227"/>
        <w:gridCol w:w="1417"/>
        <w:gridCol w:w="1418"/>
        <w:gridCol w:w="2977"/>
      </w:tblGrid>
      <w:tr w:rsidR="006A73DC" w:rsidTr="00520F0D">
        <w:trPr>
          <w:trHeight w:val="629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534E69" w:rsidRDefault="006A73DC" w:rsidP="00520F0D">
            <w:pPr>
              <w:snapToGrid w:val="0"/>
              <w:ind w:right="14"/>
              <w:jc w:val="center"/>
              <w:rPr>
                <w:rFonts w:ascii="仿宋_GB2312" w:eastAsia="仿宋_GB2312" w:hAnsi="仿宋"/>
                <w:sz w:val="24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单位名称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534E69" w:rsidRDefault="006A73DC" w:rsidP="00520F0D">
            <w:pPr>
              <w:snapToGrid w:val="0"/>
              <w:ind w:left="36"/>
              <w:jc w:val="center"/>
              <w:rPr>
                <w:rFonts w:ascii="仿宋_GB2312" w:eastAsia="仿宋_GB2312" w:hAnsi="仿宋"/>
                <w:sz w:val="24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单位性质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534E69" w:rsidRDefault="006A73DC" w:rsidP="00520F0D">
            <w:pPr>
              <w:snapToGrid w:val="0"/>
              <w:ind w:left="108"/>
              <w:jc w:val="center"/>
              <w:rPr>
                <w:rFonts w:ascii="仿宋_GB2312" w:eastAsia="仿宋_GB2312" w:hAnsi="仿宋"/>
                <w:sz w:val="24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单位规格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534E69" w:rsidRDefault="006A73DC" w:rsidP="00520F0D">
            <w:pPr>
              <w:snapToGrid w:val="0"/>
              <w:ind w:right="13"/>
              <w:jc w:val="center"/>
              <w:rPr>
                <w:rFonts w:ascii="仿宋_GB2312" w:eastAsia="仿宋_GB2312" w:hAnsi="仿宋"/>
                <w:sz w:val="24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经费保障形式</w:t>
            </w:r>
          </w:p>
        </w:tc>
      </w:tr>
      <w:tr w:rsidR="006A73DC" w:rsidTr="00520F0D">
        <w:trPr>
          <w:trHeight w:val="317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bCs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bCs/>
                <w:sz w:val="24"/>
              </w:rPr>
              <w:t>昌黎县机关事务服务中心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ind w:left="240" w:hangingChars="100" w:hanging="24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正科级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  <w:tr w:rsidR="006A73DC" w:rsidTr="00520F0D">
        <w:trPr>
          <w:trHeight w:val="31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614484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614484">
              <w:rPr>
                <w:rFonts w:ascii="仿宋_GB2312" w:eastAsia="仿宋_GB2312" w:hAnsi="仿宋" w:hint="eastAsia"/>
                <w:bCs/>
                <w:sz w:val="24"/>
              </w:rPr>
              <w:t>办公室(含设备管理股)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  <w:tr w:rsidR="006A73DC" w:rsidTr="00520F0D">
        <w:trPr>
          <w:trHeight w:val="31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614484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财务股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  <w:tr w:rsidR="006A73DC" w:rsidTr="00520F0D">
        <w:trPr>
          <w:trHeight w:val="31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614484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bCs/>
                <w:sz w:val="24"/>
                <w:lang w:val="zh-CN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行政管理股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  <w:tr w:rsidR="006A73DC" w:rsidTr="00520F0D">
        <w:trPr>
          <w:trHeight w:val="31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614484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产业发展股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  <w:tr w:rsidR="006A73DC" w:rsidTr="00520F0D">
        <w:trPr>
          <w:trHeight w:val="31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614484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公共机构节能股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  <w:tr w:rsidR="006A73DC" w:rsidTr="00520F0D">
        <w:trPr>
          <w:trHeight w:val="31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614484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保卫股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ind w:firstLineChars="200" w:firstLine="480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  <w:tr w:rsidR="006A73DC" w:rsidTr="00520F0D">
        <w:trPr>
          <w:trHeight w:val="314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Pr="00614484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公务车辆管理股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事业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ind w:firstLineChars="200" w:firstLine="480"/>
              <w:rPr>
                <w:rFonts w:ascii="仿宋_GB2312" w:eastAsia="仿宋_GB2312" w:hAnsi="仿宋"/>
                <w:sz w:val="24"/>
                <w:highlight w:val="yellow"/>
              </w:rPr>
            </w:pPr>
            <w:r w:rsidRPr="00614484">
              <w:rPr>
                <w:rFonts w:ascii="仿宋_GB2312" w:eastAsia="仿宋_GB2312" w:hAnsi="仿宋" w:hint="eastAsia"/>
                <w:sz w:val="24"/>
              </w:rPr>
              <w:t>股级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3DC" w:rsidRDefault="006A73DC" w:rsidP="00520F0D">
            <w:pPr>
              <w:snapToGrid w:val="0"/>
              <w:jc w:val="center"/>
              <w:rPr>
                <w:rFonts w:ascii="仿宋_GB2312" w:eastAsia="仿宋_GB2312" w:hAnsi="仿宋"/>
                <w:sz w:val="24"/>
                <w:highlight w:val="yellow"/>
              </w:rPr>
            </w:pPr>
            <w:r w:rsidRPr="00534E69">
              <w:rPr>
                <w:rFonts w:ascii="仿宋_GB2312" w:eastAsia="仿宋_GB2312" w:hAnsi="仿宋" w:hint="eastAsia"/>
                <w:sz w:val="24"/>
              </w:rPr>
              <w:t>财政性资金基本保证经费</w:t>
            </w:r>
          </w:p>
        </w:tc>
      </w:tr>
    </w:tbl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部门人员及资产情况：</w:t>
      </w:r>
    </w:p>
    <w:p w:rsidR="006A73DC" w:rsidRDefault="006A73DC" w:rsidP="006A73DC">
      <w:pPr>
        <w:numPr>
          <w:ilvl w:val="0"/>
          <w:numId w:val="1"/>
        </w:num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人员情况表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3"/>
        <w:gridCol w:w="917"/>
        <w:gridCol w:w="926"/>
        <w:gridCol w:w="1264"/>
        <w:gridCol w:w="660"/>
        <w:gridCol w:w="396"/>
        <w:gridCol w:w="594"/>
        <w:gridCol w:w="501"/>
        <w:gridCol w:w="474"/>
        <w:gridCol w:w="450"/>
        <w:gridCol w:w="540"/>
        <w:gridCol w:w="531"/>
      </w:tblGrid>
      <w:tr w:rsidR="006A73DC" w:rsidTr="00520F0D">
        <w:trPr>
          <w:trHeight w:val="360"/>
          <w:tblHeader/>
          <w:jc w:val="center"/>
        </w:trPr>
        <w:tc>
          <w:tcPr>
            <w:tcW w:w="6540" w:type="dxa"/>
            <w:gridSpan w:val="7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昌黎县机关事务服务中心</w:t>
            </w:r>
          </w:p>
        </w:tc>
        <w:tc>
          <w:tcPr>
            <w:tcW w:w="2496" w:type="dxa"/>
            <w:gridSpan w:val="5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单位：人</w:t>
            </w:r>
          </w:p>
        </w:tc>
      </w:tr>
      <w:tr w:rsidR="006A73DC" w:rsidTr="00520F0D">
        <w:trPr>
          <w:trHeight w:val="405"/>
          <w:tblHeader/>
          <w:jc w:val="center"/>
        </w:trPr>
        <w:tc>
          <w:tcPr>
            <w:tcW w:w="1783" w:type="dxa"/>
            <w:vMerge w:val="restart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917" w:type="dxa"/>
            <w:vMerge w:val="restart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926" w:type="dxa"/>
            <w:vMerge w:val="restart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单位规格</w:t>
            </w:r>
          </w:p>
        </w:tc>
        <w:tc>
          <w:tcPr>
            <w:tcW w:w="1264" w:type="dxa"/>
            <w:vMerge w:val="restart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经费保障形式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车辆编制数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编制人数</w:t>
            </w:r>
          </w:p>
        </w:tc>
        <w:tc>
          <w:tcPr>
            <w:tcW w:w="975" w:type="dxa"/>
            <w:gridSpan w:val="2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在职人数</w:t>
            </w:r>
          </w:p>
        </w:tc>
        <w:tc>
          <w:tcPr>
            <w:tcW w:w="1521" w:type="dxa"/>
            <w:gridSpan w:val="3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离退人数</w:t>
            </w:r>
          </w:p>
        </w:tc>
      </w:tr>
      <w:tr w:rsidR="006A73DC" w:rsidTr="00520F0D">
        <w:trPr>
          <w:trHeight w:val="1199"/>
          <w:tblHeader/>
          <w:jc w:val="center"/>
        </w:trPr>
        <w:tc>
          <w:tcPr>
            <w:tcW w:w="1783" w:type="dxa"/>
            <w:vMerge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vMerge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6" w:type="dxa"/>
            <w:vMerge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Merge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vMerge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行政</w:t>
            </w:r>
          </w:p>
        </w:tc>
        <w:tc>
          <w:tcPr>
            <w:tcW w:w="59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事业</w:t>
            </w:r>
          </w:p>
        </w:tc>
        <w:tc>
          <w:tcPr>
            <w:tcW w:w="501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行政</w:t>
            </w:r>
          </w:p>
        </w:tc>
        <w:tc>
          <w:tcPr>
            <w:tcW w:w="47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事业</w:t>
            </w:r>
          </w:p>
        </w:tc>
        <w:tc>
          <w:tcPr>
            <w:tcW w:w="45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离休</w:t>
            </w:r>
          </w:p>
        </w:tc>
        <w:tc>
          <w:tcPr>
            <w:tcW w:w="54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退休</w:t>
            </w:r>
          </w:p>
        </w:tc>
        <w:tc>
          <w:tcPr>
            <w:tcW w:w="531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退职</w:t>
            </w:r>
          </w:p>
        </w:tc>
      </w:tr>
      <w:tr w:rsidR="006A73DC" w:rsidTr="00520F0D">
        <w:trPr>
          <w:trHeight w:val="390"/>
          <w:jc w:val="center"/>
        </w:trPr>
        <w:tc>
          <w:tcPr>
            <w:tcW w:w="1783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F2372">
              <w:rPr>
                <w:rFonts w:ascii="仿宋_GB2312" w:eastAsia="仿宋_GB2312" w:hint="eastAsia"/>
                <w:bCs/>
                <w:sz w:val="24"/>
              </w:rPr>
              <w:t>合计</w:t>
            </w:r>
          </w:p>
        </w:tc>
        <w:tc>
          <w:tcPr>
            <w:tcW w:w="917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26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6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F2372">
              <w:rPr>
                <w:rFonts w:ascii="仿宋_GB2312" w:eastAsia="仿宋_GB2312" w:hint="eastAsia"/>
                <w:bCs/>
                <w:sz w:val="24"/>
              </w:rPr>
              <w:t>43</w:t>
            </w:r>
          </w:p>
        </w:tc>
        <w:tc>
          <w:tcPr>
            <w:tcW w:w="501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7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F2372">
              <w:rPr>
                <w:rFonts w:ascii="仿宋_GB2312" w:eastAsia="仿宋_GB2312" w:hint="eastAsia"/>
                <w:bCs/>
                <w:sz w:val="24"/>
              </w:rPr>
              <w:t>40</w:t>
            </w:r>
          </w:p>
        </w:tc>
        <w:tc>
          <w:tcPr>
            <w:tcW w:w="45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4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1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A73DC" w:rsidTr="00520F0D">
        <w:trPr>
          <w:trHeight w:val="636"/>
          <w:jc w:val="center"/>
        </w:trPr>
        <w:tc>
          <w:tcPr>
            <w:tcW w:w="1783" w:type="dxa"/>
            <w:noWrap/>
            <w:vAlign w:val="center"/>
          </w:tcPr>
          <w:p w:rsidR="006A73DC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昌黎县机关</w:t>
            </w:r>
          </w:p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事务服务中心</w:t>
            </w:r>
          </w:p>
        </w:tc>
        <w:tc>
          <w:tcPr>
            <w:tcW w:w="917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ind w:rightChars="56" w:right="118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事业</w:t>
            </w:r>
          </w:p>
        </w:tc>
        <w:tc>
          <w:tcPr>
            <w:tcW w:w="926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Ansi="仿宋" w:hint="eastAsia"/>
                <w:sz w:val="24"/>
              </w:rPr>
              <w:t>正科级</w:t>
            </w:r>
          </w:p>
        </w:tc>
        <w:tc>
          <w:tcPr>
            <w:tcW w:w="126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财政性资金基本保证经费</w:t>
            </w:r>
          </w:p>
        </w:tc>
        <w:tc>
          <w:tcPr>
            <w:tcW w:w="66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501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4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F2372"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45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1" w:type="dxa"/>
            <w:noWrap/>
            <w:vAlign w:val="center"/>
          </w:tcPr>
          <w:p w:rsidR="006A73DC" w:rsidRPr="00EF2372" w:rsidRDefault="006A73DC" w:rsidP="00520F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2.</w:t>
      </w:r>
      <w:r>
        <w:rPr>
          <w:rFonts w:eastAsia="仿宋_GB2312" w:hint="eastAsia"/>
          <w:sz w:val="30"/>
        </w:rPr>
        <w:t>资产情况</w:t>
      </w:r>
    </w:p>
    <w:p w:rsidR="006A73DC" w:rsidRDefault="006A73DC" w:rsidP="006A73DC">
      <w:pPr>
        <w:spacing w:line="360" w:lineRule="auto"/>
        <w:ind w:firstLineChars="200" w:firstLine="60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截至</w:t>
      </w:r>
      <w:r>
        <w:rPr>
          <w:rFonts w:eastAsia="仿宋_GB2312" w:hint="eastAsia"/>
          <w:sz w:val="30"/>
        </w:rPr>
        <w:t>2020</w:t>
      </w:r>
      <w:r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</w:rPr>
        <w:t>12</w:t>
      </w:r>
      <w:r>
        <w:rPr>
          <w:rFonts w:eastAsia="仿宋_GB2312" w:hint="eastAsia"/>
          <w:sz w:val="30"/>
        </w:rPr>
        <w:t>月</w:t>
      </w:r>
      <w:r>
        <w:rPr>
          <w:rFonts w:eastAsia="仿宋_GB2312" w:hint="eastAsia"/>
          <w:sz w:val="30"/>
        </w:rPr>
        <w:t>31</w:t>
      </w:r>
      <w:r>
        <w:rPr>
          <w:rFonts w:eastAsia="仿宋_GB2312" w:hint="eastAsia"/>
          <w:sz w:val="30"/>
        </w:rPr>
        <w:t>日，我部门资产合计金额</w:t>
      </w:r>
      <w:r>
        <w:rPr>
          <w:rFonts w:eastAsia="仿宋_GB2312" w:hint="eastAsia"/>
          <w:sz w:val="30"/>
        </w:rPr>
        <w:t>471.52</w:t>
      </w:r>
      <w:r>
        <w:rPr>
          <w:rFonts w:eastAsia="仿宋_GB2312" w:hint="eastAsia"/>
          <w:sz w:val="30"/>
        </w:rPr>
        <w:t>万元，其中：流动资产</w:t>
      </w:r>
      <w:r>
        <w:rPr>
          <w:rFonts w:eastAsia="仿宋_GB2312" w:hint="eastAsia"/>
          <w:sz w:val="30"/>
        </w:rPr>
        <w:t>1.57</w:t>
      </w:r>
      <w:r>
        <w:rPr>
          <w:rFonts w:eastAsia="仿宋_GB2312" w:hint="eastAsia"/>
          <w:sz w:val="30"/>
        </w:rPr>
        <w:t>万元，非流动资产</w:t>
      </w:r>
      <w:r>
        <w:rPr>
          <w:rFonts w:eastAsia="仿宋_GB2312" w:hint="eastAsia"/>
          <w:sz w:val="30"/>
        </w:rPr>
        <w:t>469.95</w:t>
      </w:r>
      <w:r>
        <w:rPr>
          <w:rFonts w:eastAsia="仿宋_GB2312" w:hint="eastAsia"/>
          <w:sz w:val="30"/>
        </w:rPr>
        <w:t>万元。</w:t>
      </w:r>
    </w:p>
    <w:p w:rsidR="006A73DC" w:rsidRDefault="006A73DC" w:rsidP="006A73DC">
      <w:pPr>
        <w:spacing w:line="360" w:lineRule="auto"/>
        <w:ind w:firstLineChars="200" w:firstLine="60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固定资产：原值总计</w:t>
      </w:r>
      <w:r>
        <w:rPr>
          <w:rFonts w:eastAsia="仿宋_GB2312" w:hint="eastAsia"/>
          <w:sz w:val="30"/>
        </w:rPr>
        <w:t>700.70</w:t>
      </w:r>
      <w:r>
        <w:rPr>
          <w:rFonts w:eastAsia="仿宋_GB2312" w:hint="eastAsia"/>
          <w:sz w:val="30"/>
        </w:rPr>
        <w:t>万元，其中：土地、房屋及构</w:t>
      </w:r>
      <w:r>
        <w:rPr>
          <w:rFonts w:eastAsia="仿宋_GB2312" w:hint="eastAsia"/>
          <w:sz w:val="30"/>
        </w:rPr>
        <w:lastRenderedPageBreak/>
        <w:t>筑物</w:t>
      </w:r>
      <w:r>
        <w:rPr>
          <w:rFonts w:eastAsia="仿宋_GB2312" w:hint="eastAsia"/>
          <w:sz w:val="30"/>
        </w:rPr>
        <w:t>73.72</w:t>
      </w:r>
      <w:r>
        <w:rPr>
          <w:rFonts w:eastAsia="仿宋_GB2312" w:hint="eastAsia"/>
          <w:sz w:val="30"/>
        </w:rPr>
        <w:t>万元，通用设备</w:t>
      </w:r>
      <w:r>
        <w:rPr>
          <w:rFonts w:eastAsia="仿宋_GB2312" w:hint="eastAsia"/>
          <w:sz w:val="30"/>
        </w:rPr>
        <w:t>622.07</w:t>
      </w:r>
      <w:r>
        <w:rPr>
          <w:rFonts w:eastAsia="仿宋_GB2312" w:hint="eastAsia"/>
          <w:sz w:val="30"/>
        </w:rPr>
        <w:t>万元，专用设备</w:t>
      </w:r>
      <w:r>
        <w:rPr>
          <w:rFonts w:eastAsia="仿宋_GB2312" w:hint="eastAsia"/>
          <w:sz w:val="30"/>
        </w:rPr>
        <w:t>0.00</w:t>
      </w:r>
      <w:r>
        <w:rPr>
          <w:rFonts w:eastAsia="仿宋_GB2312" w:hint="eastAsia"/>
          <w:sz w:val="30"/>
        </w:rPr>
        <w:t>万元，家具、用具、装具及动植物</w:t>
      </w:r>
      <w:r>
        <w:rPr>
          <w:rFonts w:eastAsia="仿宋_GB2312" w:hint="eastAsia"/>
          <w:sz w:val="30"/>
        </w:rPr>
        <w:t>4.91</w:t>
      </w:r>
      <w:r>
        <w:rPr>
          <w:rFonts w:eastAsia="仿宋_GB2312" w:hint="eastAsia"/>
          <w:sz w:val="30"/>
        </w:rPr>
        <w:t>万元，图书</w:t>
      </w:r>
      <w:r>
        <w:rPr>
          <w:rFonts w:eastAsia="仿宋_GB2312" w:hint="eastAsia"/>
          <w:sz w:val="30"/>
        </w:rPr>
        <w:t>0.00</w:t>
      </w:r>
      <w:r>
        <w:rPr>
          <w:rFonts w:eastAsia="仿宋_GB2312" w:hint="eastAsia"/>
          <w:sz w:val="30"/>
        </w:rPr>
        <w:t>万元。</w:t>
      </w:r>
    </w:p>
    <w:p w:rsidR="006A73DC" w:rsidRDefault="006A73DC" w:rsidP="006A73DC">
      <w:pPr>
        <w:spacing w:line="360" w:lineRule="auto"/>
        <w:ind w:firstLineChars="200" w:firstLine="60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无形资产：计算机软件</w:t>
      </w:r>
      <w:r>
        <w:rPr>
          <w:rFonts w:eastAsia="仿宋_GB2312" w:hint="eastAsia"/>
          <w:sz w:val="30"/>
        </w:rPr>
        <w:t>59.40</w:t>
      </w:r>
      <w:r>
        <w:rPr>
          <w:rFonts w:eastAsia="仿宋_GB2312" w:hint="eastAsia"/>
          <w:sz w:val="30"/>
        </w:rPr>
        <w:t>万元。</w:t>
      </w:r>
    </w:p>
    <w:p w:rsidR="006A73DC" w:rsidRDefault="006A73DC" w:rsidP="006A73DC">
      <w:pPr>
        <w:spacing w:line="360" w:lineRule="auto"/>
        <w:ind w:firstLineChars="200" w:firstLine="60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负债情况：其他应付款</w:t>
      </w:r>
      <w:r>
        <w:rPr>
          <w:rFonts w:eastAsia="仿宋_GB2312" w:hint="eastAsia"/>
          <w:sz w:val="30"/>
        </w:rPr>
        <w:t>1.57</w:t>
      </w:r>
      <w:r>
        <w:rPr>
          <w:rFonts w:eastAsia="仿宋_GB2312" w:hint="eastAsia"/>
          <w:sz w:val="30"/>
        </w:rPr>
        <w:t>万元。</w:t>
      </w:r>
    </w:p>
    <w:p w:rsidR="006A73DC" w:rsidRDefault="006A73DC" w:rsidP="006A73DC">
      <w:pPr>
        <w:numPr>
          <w:ilvl w:val="0"/>
          <w:numId w:val="2"/>
        </w:num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当年部门履职总体目标、</w:t>
      </w:r>
      <w:r>
        <w:rPr>
          <w:rFonts w:eastAsia="仿宋_GB2312"/>
          <w:sz w:val="32"/>
          <w:szCs w:val="32"/>
        </w:rPr>
        <w:t>工作任务</w:t>
      </w:r>
      <w:r>
        <w:rPr>
          <w:rFonts w:eastAsia="仿宋_GB2312" w:hint="eastAsia"/>
          <w:sz w:val="32"/>
          <w:szCs w:val="32"/>
        </w:rPr>
        <w:t>。</w:t>
      </w:r>
    </w:p>
    <w:p w:rsidR="006A73DC" w:rsidRDefault="006A73DC" w:rsidP="006A73DC">
      <w:pPr>
        <w:spacing w:beforeLines="50" w:line="360" w:lineRule="auto"/>
        <w:ind w:firstLineChars="200"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/>
          <w:sz w:val="32"/>
        </w:rPr>
        <w:t>紧紧围绕县委、县政府中心工作，认真贯彻落实《机关事务管理条例》及《河北省机关事务管理办法》文件精神，加强机关事务管理，规范机关事务工作，保障机关正常运行，降低运行成本，建设节约型机关，力争将机关事务管理工作水平迈向新台阶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6A73DC" w:rsidRDefault="006A73DC" w:rsidP="006A73DC">
      <w:pPr>
        <w:numPr>
          <w:ilvl w:val="0"/>
          <w:numId w:val="2"/>
        </w:num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当年部门年度整体支出绩效目标</w:t>
      </w:r>
      <w:r>
        <w:rPr>
          <w:rFonts w:eastAsia="仿宋_GB2312"/>
          <w:sz w:val="32"/>
          <w:szCs w:val="32"/>
        </w:rPr>
        <w:t>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1</w:t>
      </w:r>
      <w:r>
        <w:rPr>
          <w:rFonts w:eastAsia="仿宋_GB2312" w:hint="eastAsia"/>
          <w:sz w:val="30"/>
        </w:rPr>
        <w:t>、人员支出保障率达到</w:t>
      </w:r>
      <w:r>
        <w:rPr>
          <w:rFonts w:eastAsia="仿宋_GB2312" w:hint="eastAsia"/>
          <w:sz w:val="30"/>
        </w:rPr>
        <w:t>100.00%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</w:t>
      </w:r>
      <w:r>
        <w:rPr>
          <w:rFonts w:eastAsia="仿宋_GB2312" w:hint="eastAsia"/>
          <w:sz w:val="30"/>
        </w:rPr>
        <w:t>、日常公用支出控制率达到</w:t>
      </w:r>
      <w:r>
        <w:rPr>
          <w:rFonts w:eastAsia="仿宋_GB2312" w:hint="eastAsia"/>
          <w:sz w:val="30"/>
        </w:rPr>
        <w:t>100.00%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3</w:t>
      </w:r>
      <w:r>
        <w:rPr>
          <w:rFonts w:eastAsia="仿宋_GB2312" w:hint="eastAsia"/>
          <w:sz w:val="30"/>
        </w:rPr>
        <w:t>、三公经费控制率达到</w:t>
      </w:r>
      <w:r>
        <w:rPr>
          <w:rFonts w:eastAsia="仿宋_GB2312" w:hint="eastAsia"/>
          <w:sz w:val="30"/>
        </w:rPr>
        <w:t>100.00%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4</w:t>
      </w:r>
      <w:r>
        <w:rPr>
          <w:rFonts w:eastAsia="仿宋_GB2312" w:hint="eastAsia"/>
          <w:sz w:val="30"/>
        </w:rPr>
        <w:t>、政府采购执行率达到</w:t>
      </w:r>
      <w:r>
        <w:rPr>
          <w:rFonts w:eastAsia="仿宋_GB2312" w:hint="eastAsia"/>
          <w:sz w:val="30"/>
        </w:rPr>
        <w:t>95.00%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5</w:t>
      </w:r>
      <w:r>
        <w:rPr>
          <w:rFonts w:eastAsia="仿宋_GB2312" w:hint="eastAsia"/>
          <w:sz w:val="30"/>
        </w:rPr>
        <w:t>、资产入账登记率达到</w:t>
      </w:r>
      <w:r>
        <w:rPr>
          <w:rFonts w:eastAsia="仿宋_GB2312" w:hint="eastAsia"/>
          <w:sz w:val="30"/>
        </w:rPr>
        <w:t>100.00%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6</w:t>
      </w:r>
      <w:r>
        <w:rPr>
          <w:rFonts w:eastAsia="仿宋_GB2312" w:hint="eastAsia"/>
          <w:sz w:val="30"/>
        </w:rPr>
        <w:t>、重点工作（专项工作）完成率达到</w:t>
      </w:r>
      <w:r>
        <w:rPr>
          <w:rFonts w:eastAsia="仿宋_GB2312" w:hint="eastAsia"/>
          <w:sz w:val="30"/>
        </w:rPr>
        <w:t>100.00%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7</w:t>
      </w:r>
      <w:r>
        <w:rPr>
          <w:rFonts w:eastAsia="仿宋_GB2312" w:hint="eastAsia"/>
          <w:sz w:val="30"/>
        </w:rPr>
        <w:t>、提高后勤保障和公益服务目标完成率、保障市民中心的安全秩序、提升市民中心运转质量、推进全县无纸化办公质量等。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8</w:t>
      </w:r>
      <w:r>
        <w:rPr>
          <w:rFonts w:eastAsia="仿宋_GB2312" w:hint="eastAsia"/>
          <w:sz w:val="30"/>
        </w:rPr>
        <w:t>、满意度指标达到</w:t>
      </w:r>
      <w:r>
        <w:rPr>
          <w:rFonts w:eastAsia="仿宋_GB2312" w:hint="eastAsia"/>
          <w:sz w:val="30"/>
        </w:rPr>
        <w:t>90.00%</w:t>
      </w:r>
      <w:r>
        <w:rPr>
          <w:rFonts w:eastAsia="仿宋_GB2312" w:hint="eastAsia"/>
          <w:sz w:val="30"/>
        </w:rPr>
        <w:t>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贯彻落实上级管理和使用办公用房的规定和要求，对机关办公用房权属登记、使用调配进行规范。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对市民中心办公用房使用情况进行台账式管理，定期核查入驻单位办公用房使用情况，规范办公用房使用。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深入推进全县公共机构节能工作，指导、协调全县公共机构节能工作，对全县公共机构节能监督管理，开展公共机构节能宣传，推进全县节约型机关建设。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贯彻落实上级公车改革的政策举措和要求，改革工作顺利推进。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>
        <w:rPr>
          <w:rFonts w:ascii="仿宋_GB2312" w:eastAsia="仿宋_GB2312"/>
          <w:sz w:val="32"/>
          <w:szCs w:val="32"/>
        </w:rPr>
        <w:t>公务车辆信息化管理平台运行正常，公务车辆管理工作规范有序，对全县公务用车进行有效的监督。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</w:t>
      </w:r>
      <w:r>
        <w:rPr>
          <w:rFonts w:ascii="仿宋_GB2312" w:eastAsia="仿宋_GB2312"/>
          <w:sz w:val="32"/>
          <w:szCs w:val="32"/>
        </w:rPr>
        <w:t>为市民中心各入驻单位提供优质的安全保卫、卫生保洁、会议服务、维护维修等服务。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</w:t>
      </w:r>
      <w:r>
        <w:rPr>
          <w:rFonts w:ascii="仿宋_GB2312" w:eastAsia="仿宋_GB2312"/>
          <w:sz w:val="32"/>
          <w:szCs w:val="32"/>
        </w:rPr>
        <w:t>保障网络通信和水、电、暖及公共设施设备的正常运行。</w:t>
      </w:r>
    </w:p>
    <w:p w:rsidR="006A73DC" w:rsidRDefault="006A73DC" w:rsidP="006A73DC">
      <w:pPr>
        <w:adjustRightInd w:val="0"/>
        <w:spacing w:line="610" w:lineRule="exact"/>
        <w:ind w:firstLine="709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</w:t>
      </w:r>
      <w:r>
        <w:rPr>
          <w:rFonts w:ascii="仿宋_GB2312" w:eastAsia="仿宋_GB2312"/>
          <w:sz w:val="32"/>
          <w:szCs w:val="32"/>
        </w:rPr>
        <w:t>指导、管理好招待所、昌黎宾馆的各项服务工作。</w:t>
      </w:r>
    </w:p>
    <w:p w:rsidR="006A73DC" w:rsidRDefault="006A73DC" w:rsidP="006A73DC">
      <w:pPr>
        <w:tabs>
          <w:tab w:val="left" w:pos="0"/>
        </w:tabs>
        <w:adjustRightInd w:val="0"/>
        <w:spacing w:line="610" w:lineRule="exact"/>
        <w:ind w:firstLine="709"/>
        <w:outlineLvl w:val="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</w:t>
      </w:r>
      <w:r>
        <w:rPr>
          <w:rFonts w:ascii="仿宋_GB2312" w:eastAsia="仿宋_GB2312"/>
          <w:sz w:val="32"/>
          <w:szCs w:val="32"/>
        </w:rPr>
        <w:t>为市民中心营造安全、整洁、优良的工作环境。</w:t>
      </w:r>
    </w:p>
    <w:p w:rsidR="006A73DC" w:rsidRDefault="006A73DC" w:rsidP="006A73DC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（四）部门预算绩效管理开展情况。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1</w:t>
      </w:r>
      <w:r>
        <w:rPr>
          <w:rFonts w:eastAsia="仿宋_GB2312" w:hint="eastAsia"/>
          <w:sz w:val="30"/>
        </w:rPr>
        <w:t>、明确本部门各科室预算绩效管理工作职能。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</w:t>
      </w:r>
      <w:r>
        <w:rPr>
          <w:rFonts w:eastAsia="仿宋_GB2312" w:hint="eastAsia"/>
          <w:sz w:val="30"/>
        </w:rPr>
        <w:t>、根据预算绩效管理要求制定本部门绩效管理文件，并规范绩效目标指标体系。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3</w:t>
      </w:r>
      <w:r>
        <w:rPr>
          <w:rFonts w:eastAsia="仿宋_GB2312" w:hint="eastAsia"/>
          <w:sz w:val="30"/>
        </w:rPr>
        <w:t>、建立本部门预算绩效管理工作考核机制。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4</w:t>
      </w:r>
      <w:r>
        <w:rPr>
          <w:rFonts w:eastAsia="仿宋_GB2312" w:hint="eastAsia"/>
          <w:sz w:val="30"/>
        </w:rPr>
        <w:t>、组织本部门相关科室编制年度财政支出绩效文本及预算文本。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lastRenderedPageBreak/>
        <w:t>5</w:t>
      </w:r>
      <w:r>
        <w:rPr>
          <w:rFonts w:eastAsia="仿宋_GB2312" w:hint="eastAsia"/>
          <w:sz w:val="30"/>
        </w:rPr>
        <w:t>、开展本部门财政支出绩效评价及绩效监控工作。</w:t>
      </w:r>
    </w:p>
    <w:p w:rsidR="006A73DC" w:rsidRDefault="006A73DC" w:rsidP="006A73DC">
      <w:pPr>
        <w:pStyle w:val="a5"/>
        <w:widowControl/>
        <w:shd w:val="clear" w:color="auto" w:fill="FFFFFF"/>
        <w:spacing w:beforeAutospacing="0" w:afterAutospacing="0" w:line="585" w:lineRule="atLeast"/>
        <w:ind w:firstLine="420"/>
        <w:jc w:val="both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  <w:r w:rsidRPr="000F3A77"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根据昌财〔2020〕39号文件，昌黎县财政局关于开展2020年度部门整体支出自评工作的通知，为认真贯彻落实河北省委省政府印发的《关于全面实施预算绩效管理的实施意见》精神，进一步加强部门预算绩效管理，提高财政资金使用效益和管理水平以及推进部门整体支出自评工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作的精神，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对20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年度整体支出实施绩效评价，为确保评价工作的顺利开展和按时完成，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我们按照绩效评价规定要求成立评价小组，组织实施和分析评价，采取座谈等方式听取情况，检查基本支出、项目支出有关账目，收集整理支出相关资料，并根据绩效自评材料进行分析，形成评价结论。</w:t>
      </w:r>
    </w:p>
    <w:p w:rsidR="006A73DC" w:rsidRDefault="006A73DC" w:rsidP="006A73DC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（五）当年部门预算</w:t>
      </w:r>
      <w:r>
        <w:rPr>
          <w:rFonts w:eastAsia="仿宋_GB2312"/>
          <w:sz w:val="32"/>
          <w:szCs w:val="32"/>
        </w:rPr>
        <w:t>及执行情况</w:t>
      </w:r>
      <w:r>
        <w:rPr>
          <w:rFonts w:eastAsia="仿宋_GB2312" w:hint="eastAsia"/>
          <w:sz w:val="32"/>
          <w:szCs w:val="32"/>
        </w:rPr>
        <w:t>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2020</w:t>
      </w:r>
      <w:r>
        <w:rPr>
          <w:rFonts w:eastAsia="仿宋_GB2312" w:hint="eastAsia"/>
          <w:sz w:val="30"/>
        </w:rPr>
        <w:t>年全年预算（调整后）</w:t>
      </w:r>
      <w:r>
        <w:rPr>
          <w:rFonts w:eastAsia="仿宋_GB2312" w:hint="eastAsia"/>
          <w:sz w:val="30"/>
        </w:rPr>
        <w:t>1248.58</w:t>
      </w:r>
      <w:r>
        <w:rPr>
          <w:rFonts w:eastAsia="仿宋_GB2312" w:hint="eastAsia"/>
          <w:sz w:val="30"/>
        </w:rPr>
        <w:t>万元。全年预算执行数</w:t>
      </w:r>
      <w:r>
        <w:rPr>
          <w:rFonts w:eastAsia="仿宋_GB2312" w:hint="eastAsia"/>
          <w:sz w:val="30"/>
        </w:rPr>
        <w:t>1247.01</w:t>
      </w:r>
      <w:r>
        <w:rPr>
          <w:rFonts w:eastAsia="仿宋_GB2312" w:hint="eastAsia"/>
          <w:sz w:val="30"/>
        </w:rPr>
        <w:t>万元，执行率</w:t>
      </w:r>
      <w:r>
        <w:rPr>
          <w:rFonts w:eastAsia="仿宋_GB2312" w:hint="eastAsia"/>
          <w:sz w:val="30"/>
        </w:rPr>
        <w:t>99.87%</w:t>
      </w:r>
      <w:r>
        <w:rPr>
          <w:rFonts w:eastAsia="仿宋_GB2312" w:hint="eastAsia"/>
          <w:sz w:val="30"/>
        </w:rPr>
        <w:t>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2020</w:t>
      </w:r>
      <w:r>
        <w:rPr>
          <w:rFonts w:eastAsia="仿宋_GB2312" w:hint="eastAsia"/>
          <w:sz w:val="30"/>
        </w:rPr>
        <w:t>年基本支出</w:t>
      </w:r>
      <w:r>
        <w:rPr>
          <w:rFonts w:eastAsia="仿宋_GB2312" w:hint="eastAsia"/>
          <w:sz w:val="30"/>
        </w:rPr>
        <w:t>57.89</w:t>
      </w:r>
      <w:r>
        <w:rPr>
          <w:rFonts w:eastAsia="仿宋_GB2312" w:hint="eastAsia"/>
          <w:sz w:val="30"/>
        </w:rPr>
        <w:t>万元。其中：人员经费</w:t>
      </w:r>
      <w:r>
        <w:rPr>
          <w:rFonts w:eastAsia="仿宋_GB2312" w:hint="eastAsia"/>
          <w:sz w:val="30"/>
        </w:rPr>
        <w:t>57.89</w:t>
      </w:r>
      <w:r>
        <w:rPr>
          <w:rFonts w:eastAsia="仿宋_GB2312" w:hint="eastAsia"/>
          <w:sz w:val="30"/>
        </w:rPr>
        <w:t>万元，公用经费</w:t>
      </w:r>
      <w:r>
        <w:rPr>
          <w:rFonts w:eastAsia="仿宋_GB2312" w:hint="eastAsia"/>
          <w:sz w:val="30"/>
        </w:rPr>
        <w:t>0.00</w:t>
      </w:r>
      <w:r>
        <w:rPr>
          <w:rFonts w:eastAsia="仿宋_GB2312" w:hint="eastAsia"/>
          <w:sz w:val="30"/>
        </w:rPr>
        <w:t>万元。</w:t>
      </w:r>
    </w:p>
    <w:p w:rsidR="006A73DC" w:rsidRDefault="006A73DC" w:rsidP="006A73DC">
      <w:pPr>
        <w:adjustRightInd w:val="0"/>
        <w:snapToGrid w:val="0"/>
        <w:spacing w:line="612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0"/>
        </w:rPr>
        <w:t>2020</w:t>
      </w:r>
      <w:r>
        <w:rPr>
          <w:rFonts w:eastAsia="仿宋_GB2312" w:hint="eastAsia"/>
          <w:sz w:val="30"/>
        </w:rPr>
        <w:t>年项目支出</w:t>
      </w:r>
      <w:r>
        <w:rPr>
          <w:rFonts w:eastAsia="仿宋_GB2312" w:hint="eastAsia"/>
          <w:sz w:val="30"/>
        </w:rPr>
        <w:t>1189.12</w:t>
      </w:r>
      <w:r>
        <w:rPr>
          <w:rFonts w:eastAsia="仿宋_GB2312" w:hint="eastAsia"/>
          <w:sz w:val="30"/>
        </w:rPr>
        <w:t>元，其中：</w:t>
      </w:r>
      <w:r>
        <w:rPr>
          <w:rFonts w:eastAsia="仿宋_GB2312" w:hint="eastAsia"/>
          <w:sz w:val="30"/>
        </w:rPr>
        <w:t>2020</w:t>
      </w:r>
      <w:r>
        <w:rPr>
          <w:rFonts w:eastAsia="仿宋_GB2312" w:hint="eastAsia"/>
          <w:sz w:val="30"/>
        </w:rPr>
        <w:t>年预算项目共</w:t>
      </w:r>
      <w:r>
        <w:rPr>
          <w:rFonts w:eastAsia="仿宋_GB2312" w:hint="eastAsia"/>
          <w:sz w:val="30"/>
        </w:rPr>
        <w:t>12</w:t>
      </w:r>
      <w:r>
        <w:rPr>
          <w:rFonts w:eastAsia="仿宋_GB2312" w:hint="eastAsia"/>
          <w:sz w:val="30"/>
        </w:rPr>
        <w:t>个项目，总体运行情况</w:t>
      </w:r>
      <w:r>
        <w:rPr>
          <w:rFonts w:eastAsia="仿宋_GB2312" w:hint="eastAsia"/>
          <w:sz w:val="30"/>
        </w:rPr>
        <w:t>12</w:t>
      </w:r>
      <w:r>
        <w:rPr>
          <w:rFonts w:eastAsia="仿宋_GB2312" w:hint="eastAsia"/>
          <w:sz w:val="30"/>
        </w:rPr>
        <w:t>个自评获得优秀。</w:t>
      </w:r>
    </w:p>
    <w:p w:rsidR="006A73DC" w:rsidRDefault="006A73DC" w:rsidP="006A73DC">
      <w:pPr>
        <w:spacing w:line="360" w:lineRule="auto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二、部门整体支出绩效实现情况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我部门人员管理情况没有出现超出人员编制情况。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预算编制情况，按照《中华人民共和国预算法》及其实施条例的相关规定科学合理编制预算，预算完成率</w:t>
      </w:r>
      <w:r>
        <w:rPr>
          <w:rFonts w:eastAsia="仿宋_GB2312" w:hint="eastAsia"/>
          <w:sz w:val="30"/>
        </w:rPr>
        <w:t>99.88%</w:t>
      </w:r>
      <w:r>
        <w:rPr>
          <w:rFonts w:eastAsia="仿宋_GB2312" w:hint="eastAsia"/>
          <w:sz w:val="30"/>
        </w:rPr>
        <w:t>，严格执</w:t>
      </w:r>
      <w:r>
        <w:rPr>
          <w:rFonts w:eastAsia="仿宋_GB2312" w:hint="eastAsia"/>
          <w:sz w:val="30"/>
        </w:rPr>
        <w:lastRenderedPageBreak/>
        <w:t>行预算，支出进度率</w:t>
      </w:r>
      <w:r>
        <w:rPr>
          <w:rFonts w:eastAsia="仿宋_GB2312" w:hint="eastAsia"/>
          <w:sz w:val="30"/>
        </w:rPr>
        <w:t>99.88%</w:t>
      </w:r>
      <w:r>
        <w:rPr>
          <w:rFonts w:eastAsia="仿宋_GB2312" w:hint="eastAsia"/>
          <w:sz w:val="30"/>
        </w:rPr>
        <w:t>。完成情况良好，在执行过程中与年初预算略有偏差，预算调整率超出</w:t>
      </w:r>
      <w:r>
        <w:rPr>
          <w:rFonts w:eastAsia="仿宋_GB2312" w:hint="eastAsia"/>
          <w:sz w:val="30"/>
        </w:rPr>
        <w:t>7.18%</w:t>
      </w:r>
      <w:r>
        <w:rPr>
          <w:rFonts w:eastAsia="仿宋_GB2312" w:hint="eastAsia"/>
          <w:sz w:val="30"/>
        </w:rPr>
        <w:t>。</w:t>
      </w:r>
    </w:p>
    <w:p w:rsidR="006A73DC" w:rsidRDefault="006A73DC" w:rsidP="006A73D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严格按照“三公”经费的政策要求执未出现偏差，执行率0.00%。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严格执行政府采购程序，执行率</w:t>
      </w:r>
      <w:r>
        <w:rPr>
          <w:rFonts w:eastAsia="仿宋_GB2312" w:hint="eastAsia"/>
          <w:sz w:val="30"/>
        </w:rPr>
        <w:t>100.00%</w:t>
      </w:r>
    </w:p>
    <w:p w:rsidR="006A73DC" w:rsidRDefault="006A73DC" w:rsidP="006A73D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我部门建立了相关的内控管理制度，使得财务管理更加规范，严格按照规章规定执行。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对固定资产的管理严格执行上级主管部门要求，及时登记资产卡片并入账</w:t>
      </w:r>
      <w:r>
        <w:rPr>
          <w:rFonts w:eastAsia="仿宋_GB2312" w:hint="eastAsia"/>
          <w:sz w:val="30"/>
        </w:rPr>
        <w:t>100.00%</w:t>
      </w:r>
      <w:r>
        <w:rPr>
          <w:rFonts w:eastAsia="仿宋_GB2312" w:hint="eastAsia"/>
          <w:sz w:val="30"/>
        </w:rPr>
        <w:t>，定期进行清查和盘点。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绩效管理，认真分析本部门履行职责，细致划分绩效目标，使得绩效目标贴近实际工作内容，更易进行评价，</w:t>
      </w:r>
      <w:r>
        <w:rPr>
          <w:rFonts w:eastAsia="仿宋_GB2312" w:hint="eastAsia"/>
          <w:sz w:val="30"/>
        </w:rPr>
        <w:t>100.0%</w:t>
      </w:r>
      <w:r>
        <w:rPr>
          <w:rFonts w:eastAsia="仿宋_GB2312" w:hint="eastAsia"/>
          <w:sz w:val="30"/>
        </w:rPr>
        <w:t>对项目资金进行评价。</w:t>
      </w:r>
    </w:p>
    <w:p w:rsidR="006A73DC" w:rsidRDefault="006A73DC" w:rsidP="006A73DC">
      <w:pPr>
        <w:spacing w:line="360" w:lineRule="auto"/>
        <w:ind w:firstLineChars="200" w:firstLine="640"/>
        <w:rPr>
          <w:rFonts w:eastAsia="仿宋_GB2312"/>
          <w:sz w:val="30"/>
        </w:rPr>
      </w:pPr>
      <w:r>
        <w:rPr>
          <w:rFonts w:eastAsia="仿宋_GB2312" w:hint="eastAsia"/>
          <w:sz w:val="32"/>
          <w:szCs w:val="32"/>
        </w:rPr>
        <w:t>我部门按相关要求、程序、预算报表格式编制部门预算，按照部门决算布置要求进行决算编制。按规定的时间报送财政局并及时在昌黎政府门户网站进行公示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（一）履职完成情况：从数量</w:t>
      </w:r>
      <w:r>
        <w:rPr>
          <w:rFonts w:eastAsia="仿宋_GB2312"/>
          <w:sz w:val="30"/>
        </w:rPr>
        <w:t>、质量</w:t>
      </w:r>
      <w:r>
        <w:rPr>
          <w:rFonts w:eastAsia="仿宋_GB2312" w:hint="eastAsia"/>
          <w:sz w:val="30"/>
        </w:rPr>
        <w:t>、</w:t>
      </w:r>
      <w:r>
        <w:rPr>
          <w:rFonts w:eastAsia="仿宋_GB2312"/>
          <w:sz w:val="30"/>
        </w:rPr>
        <w:t>时</w:t>
      </w:r>
      <w:r>
        <w:rPr>
          <w:rFonts w:eastAsia="仿宋_GB2312" w:hint="eastAsia"/>
          <w:sz w:val="30"/>
        </w:rPr>
        <w:t>效等方面归纳反映年度主要</w:t>
      </w:r>
      <w:r>
        <w:rPr>
          <w:rFonts w:eastAsia="仿宋_GB2312"/>
          <w:sz w:val="30"/>
        </w:rPr>
        <w:t>计划任务完成</w:t>
      </w:r>
      <w:r>
        <w:rPr>
          <w:rFonts w:eastAsia="仿宋_GB2312" w:hint="eastAsia"/>
          <w:sz w:val="30"/>
        </w:rPr>
        <w:t>情况。</w:t>
      </w:r>
    </w:p>
    <w:p w:rsidR="006A73DC" w:rsidRPr="000F3A77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 w:rsidRPr="0055125A">
        <w:rPr>
          <w:rFonts w:eastAsia="仿宋_GB2312" w:hint="eastAsia"/>
          <w:sz w:val="30"/>
        </w:rPr>
        <w:t>我单位</w:t>
      </w:r>
      <w:r w:rsidRPr="0055125A">
        <w:rPr>
          <w:rFonts w:eastAsia="仿宋_GB2312" w:hint="eastAsia"/>
          <w:sz w:val="30"/>
        </w:rPr>
        <w:t>2020</w:t>
      </w:r>
      <w:r w:rsidRPr="0055125A">
        <w:rPr>
          <w:rFonts w:eastAsia="仿宋_GB2312" w:hint="eastAsia"/>
          <w:sz w:val="30"/>
        </w:rPr>
        <w:t>年度履职期间，认真执行年初绩效目标。充分保障了</w:t>
      </w:r>
      <w:r w:rsidRPr="000F3A77">
        <w:rPr>
          <w:rFonts w:eastAsia="仿宋_GB2312" w:hint="eastAsia"/>
          <w:sz w:val="30"/>
        </w:rPr>
        <w:t>预算项目正常运转，保障了我单位人员的工资保险，保障了市民中心</w:t>
      </w:r>
      <w:r w:rsidRPr="000F3A77">
        <w:rPr>
          <w:rFonts w:eastAsia="仿宋_GB2312" w:hint="eastAsia"/>
          <w:sz w:val="30"/>
        </w:rPr>
        <w:t>35</w:t>
      </w:r>
      <w:r w:rsidRPr="000F3A77">
        <w:rPr>
          <w:rFonts w:eastAsia="仿宋_GB2312" w:hint="eastAsia"/>
          <w:sz w:val="30"/>
        </w:rPr>
        <w:t>个机关单位运转，维护面积</w:t>
      </w:r>
      <w:r w:rsidRPr="000F3A77">
        <w:rPr>
          <w:rFonts w:eastAsia="仿宋_GB2312" w:hint="eastAsia"/>
          <w:sz w:val="30"/>
        </w:rPr>
        <w:t>5.88</w:t>
      </w:r>
      <w:r w:rsidRPr="000F3A77">
        <w:rPr>
          <w:rFonts w:eastAsia="仿宋_GB2312" w:hint="eastAsia"/>
          <w:sz w:val="30"/>
        </w:rPr>
        <w:t>万平方米，完成设备更新维修≥</w:t>
      </w:r>
      <w:r w:rsidRPr="000F3A77">
        <w:rPr>
          <w:rFonts w:eastAsia="仿宋_GB2312" w:hint="eastAsia"/>
          <w:sz w:val="30"/>
        </w:rPr>
        <w:t>1000</w:t>
      </w:r>
      <w:r w:rsidRPr="000F3A77">
        <w:rPr>
          <w:rFonts w:eastAsia="仿宋_GB2312" w:hint="eastAsia"/>
          <w:sz w:val="30"/>
        </w:rPr>
        <w:t>次。且全面，完成了全年的绩效指标执行情况良好，结果优秀。</w:t>
      </w:r>
    </w:p>
    <w:p w:rsidR="006A73DC" w:rsidRDefault="006A73DC" w:rsidP="006A73DC">
      <w:pPr>
        <w:numPr>
          <w:ilvl w:val="0"/>
          <w:numId w:val="3"/>
        </w:numPr>
        <w:spacing w:line="360" w:lineRule="auto"/>
        <w:ind w:firstLineChars="200" w:firstLine="600"/>
        <w:rPr>
          <w:rFonts w:eastAsia="仿宋_GB2312"/>
          <w:sz w:val="30"/>
        </w:rPr>
      </w:pPr>
      <w:r w:rsidRPr="000F3A77">
        <w:rPr>
          <w:rFonts w:eastAsia="仿宋_GB2312" w:hint="eastAsia"/>
          <w:sz w:val="30"/>
        </w:rPr>
        <w:lastRenderedPageBreak/>
        <w:t>履职效果情况</w:t>
      </w:r>
      <w:r w:rsidRPr="000F3A77">
        <w:rPr>
          <w:rFonts w:eastAsia="仿宋_GB2312"/>
          <w:sz w:val="30"/>
        </w:rPr>
        <w:t>：</w:t>
      </w:r>
      <w:r w:rsidRPr="000F3A77">
        <w:rPr>
          <w:rFonts w:eastAsia="仿宋_GB2312" w:hint="eastAsia"/>
          <w:sz w:val="30"/>
        </w:rPr>
        <w:t>从</w:t>
      </w:r>
      <w:r>
        <w:rPr>
          <w:rFonts w:eastAsia="仿宋_GB2312"/>
          <w:sz w:val="30"/>
        </w:rPr>
        <w:t>社会效益、</w:t>
      </w:r>
      <w:r>
        <w:rPr>
          <w:rFonts w:eastAsia="仿宋_GB2312" w:hint="eastAsia"/>
          <w:sz w:val="30"/>
        </w:rPr>
        <w:t>经济效益、生态</w:t>
      </w:r>
      <w:r>
        <w:rPr>
          <w:rFonts w:eastAsia="仿宋_GB2312"/>
          <w:sz w:val="30"/>
        </w:rPr>
        <w:t>效益</w:t>
      </w:r>
      <w:r>
        <w:rPr>
          <w:rFonts w:eastAsia="仿宋_GB2312" w:hint="eastAsia"/>
          <w:sz w:val="30"/>
        </w:rPr>
        <w:t>等方面反映部门履职效果的</w:t>
      </w:r>
      <w:r>
        <w:rPr>
          <w:rFonts w:eastAsia="仿宋_GB2312"/>
          <w:sz w:val="30"/>
        </w:rPr>
        <w:t>实现情况。</w:t>
      </w:r>
      <w:r>
        <w:rPr>
          <w:rFonts w:eastAsia="仿宋_GB2312" w:hint="eastAsia"/>
          <w:sz w:val="30"/>
        </w:rPr>
        <w:t>预算安排的基本支出保障了正常的工作运转，预算安排的项目支出是非常必要的，在执行上是严格遵守各项财经纪律的，在项目资金的使用上也是严守法律底线、纪律底线、道德底线。在按质按量完成部门工作的同时，积极推动社会效益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项目实施有效提高财政资金使用效益，提高后勤保障和公益服务目标完成率、保障市民中心的安全秩序、提升市民中心运转质量、推进全县无纸化办公质量等。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深入理解环境保护含义，在日常工作中切实做到保护环境、绿色发展、节能减排。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0"/>
        </w:rPr>
        <w:t>（三）</w:t>
      </w:r>
      <w:r>
        <w:rPr>
          <w:rFonts w:eastAsia="仿宋_GB2312"/>
          <w:sz w:val="30"/>
        </w:rPr>
        <w:t>20</w:t>
      </w:r>
      <w:r>
        <w:rPr>
          <w:rFonts w:eastAsia="仿宋_GB2312" w:hint="eastAsia"/>
          <w:sz w:val="30"/>
        </w:rPr>
        <w:t>20</w:t>
      </w:r>
      <w:r>
        <w:rPr>
          <w:rFonts w:eastAsia="仿宋_GB2312"/>
          <w:sz w:val="30"/>
        </w:rPr>
        <w:t>年本</w:t>
      </w:r>
      <w:r>
        <w:rPr>
          <w:rFonts w:eastAsia="仿宋_GB2312" w:hint="eastAsia"/>
          <w:sz w:val="30"/>
        </w:rPr>
        <w:t>部门</w:t>
      </w:r>
      <w:r>
        <w:rPr>
          <w:rFonts w:eastAsia="仿宋_GB2312"/>
          <w:sz w:val="30"/>
        </w:rPr>
        <w:t>认真贯彻落实习近平新时代中国特色社会主义思想，强化安全生产红线意识，严格自觉执法，</w:t>
      </w:r>
      <w:r>
        <w:rPr>
          <w:rFonts w:eastAsia="仿宋_GB2312" w:hint="eastAsia"/>
          <w:sz w:val="30"/>
        </w:rPr>
        <w:t>打造学习型机关、效能型机关和服务型机关，达到充分发部门职责作用的效果。</w:t>
      </w:r>
      <w:r>
        <w:rPr>
          <w:rFonts w:eastAsia="仿宋_GB2312"/>
          <w:sz w:val="30"/>
        </w:rPr>
        <w:t>取得了较好的社会公众满意度</w:t>
      </w:r>
      <w:r>
        <w:rPr>
          <w:rFonts w:eastAsia="仿宋_GB2312" w:hint="eastAsia"/>
          <w:sz w:val="32"/>
          <w:szCs w:val="32"/>
        </w:rPr>
        <w:t>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本</w:t>
      </w:r>
      <w:r>
        <w:rPr>
          <w:rFonts w:eastAsia="仿宋_GB2312"/>
          <w:sz w:val="30"/>
        </w:rPr>
        <w:t>单位积极履职，强化管理，较好的完成了年度工作目标。通过加强预算收支管理，不断建立健全内部管理制度，梳理内部管理流程，部门整体支出管理水平得到提升。根据部门整体支出绩效评价指标体系，我</w:t>
      </w:r>
      <w:r>
        <w:rPr>
          <w:rFonts w:eastAsia="仿宋_GB2312" w:hint="eastAsia"/>
          <w:sz w:val="30"/>
        </w:rPr>
        <w:t>部门</w:t>
      </w:r>
      <w:r>
        <w:rPr>
          <w:rFonts w:eastAsia="仿宋_GB2312"/>
          <w:sz w:val="30"/>
        </w:rPr>
        <w:t>20</w:t>
      </w:r>
      <w:r>
        <w:rPr>
          <w:rFonts w:eastAsia="仿宋_GB2312" w:hint="eastAsia"/>
          <w:sz w:val="30"/>
        </w:rPr>
        <w:t>20</w:t>
      </w:r>
      <w:r>
        <w:rPr>
          <w:rFonts w:eastAsia="仿宋_GB2312"/>
          <w:sz w:val="30"/>
        </w:rPr>
        <w:t>年度评价得分为</w:t>
      </w:r>
      <w:r>
        <w:rPr>
          <w:rFonts w:eastAsia="仿宋_GB2312" w:hint="eastAsia"/>
          <w:sz w:val="30"/>
        </w:rPr>
        <w:t>93.78</w:t>
      </w:r>
      <w:r>
        <w:rPr>
          <w:rFonts w:eastAsia="仿宋_GB2312"/>
          <w:sz w:val="30"/>
        </w:rPr>
        <w:t>分</w:t>
      </w:r>
      <w:r>
        <w:rPr>
          <w:rFonts w:eastAsia="仿宋_GB2312" w:hint="eastAsia"/>
          <w:sz w:val="30"/>
        </w:rPr>
        <w:t>（优）</w:t>
      </w:r>
    </w:p>
    <w:p w:rsidR="006A73DC" w:rsidRDefault="006A73DC" w:rsidP="006A73DC">
      <w:pPr>
        <w:spacing w:line="360" w:lineRule="auto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三、部门整体支出绩效中存</w:t>
      </w:r>
      <w:r>
        <w:rPr>
          <w:rFonts w:ascii="黑体" w:eastAsia="黑体"/>
          <w:sz w:val="30"/>
        </w:rPr>
        <w:t>在问题</w:t>
      </w:r>
      <w:r>
        <w:rPr>
          <w:rFonts w:ascii="黑体" w:eastAsia="黑体" w:hint="eastAsia"/>
          <w:sz w:val="30"/>
        </w:rPr>
        <w:t>及</w:t>
      </w:r>
      <w:r>
        <w:rPr>
          <w:rFonts w:ascii="黑体" w:eastAsia="黑体"/>
          <w:sz w:val="30"/>
        </w:rPr>
        <w:t>改进措施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（一）存在的问题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1</w:t>
      </w:r>
      <w:r>
        <w:rPr>
          <w:rFonts w:eastAsia="仿宋_GB2312" w:hint="eastAsia"/>
          <w:sz w:val="30"/>
        </w:rPr>
        <w:t>、预算编制有待更完整、科学。支出预算与实际支出项目</w:t>
      </w:r>
      <w:r>
        <w:rPr>
          <w:rFonts w:eastAsia="仿宋_GB2312" w:hint="eastAsia"/>
          <w:sz w:val="30"/>
        </w:rPr>
        <w:lastRenderedPageBreak/>
        <w:t>有的存在差异。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2</w:t>
      </w:r>
      <w:r>
        <w:rPr>
          <w:rFonts w:eastAsia="仿宋_GB2312" w:hint="eastAsia"/>
          <w:sz w:val="30"/>
        </w:rPr>
        <w:t>、财务制度执行力有待加强，资金使用计划有待细化。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3</w:t>
      </w:r>
      <w:r>
        <w:rPr>
          <w:rFonts w:eastAsia="仿宋_GB2312" w:hint="eastAsia"/>
          <w:sz w:val="30"/>
        </w:rPr>
        <w:t>、预算绩效工作能力有待提升。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4</w:t>
      </w:r>
      <w:r>
        <w:rPr>
          <w:rFonts w:eastAsia="仿宋_GB2312" w:hint="eastAsia"/>
          <w:sz w:val="30"/>
        </w:rPr>
        <w:t>、满意度调查结果，缺少评价依据资料。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（二）</w:t>
      </w:r>
      <w:r>
        <w:rPr>
          <w:rFonts w:eastAsia="仿宋_GB2312"/>
          <w:sz w:val="30"/>
        </w:rPr>
        <w:t>改</w:t>
      </w:r>
      <w:r>
        <w:rPr>
          <w:rFonts w:eastAsia="仿宋_GB2312" w:hint="eastAsia"/>
          <w:sz w:val="30"/>
        </w:rPr>
        <w:t>进</w:t>
      </w:r>
      <w:r>
        <w:rPr>
          <w:rFonts w:eastAsia="仿宋_GB2312"/>
          <w:sz w:val="30"/>
        </w:rPr>
        <w:t>的方向</w:t>
      </w:r>
      <w:r>
        <w:rPr>
          <w:rFonts w:eastAsia="仿宋_GB2312" w:hint="eastAsia"/>
          <w:sz w:val="30"/>
        </w:rPr>
        <w:t>和具体</w:t>
      </w:r>
      <w:r>
        <w:rPr>
          <w:rFonts w:eastAsia="仿宋_GB2312"/>
          <w:sz w:val="30"/>
        </w:rPr>
        <w:t>措施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细化预算编制工作，认真做好预算的编制。要进一步加强预算管理意识，严格按照预算编制的相关制度和要求，公用经费根据单位的年度工作重点和项目专项工作规划，本着“勤俭节约、保障运转”的原则进行预算的编制，编制范围尽可能的全面，进一步提高预算编制的完整性、科学性、合理性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加强财务管理，严格财务审核，经费支出严格按预算规定项目的财务支出内容进行财务核算，在预算金额内严格控制费用的支出。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增强资金支出责任意识和绩效观念，提高财政资金的使用效益，与预算资金安排相结合，在预算额度内促进财政资金的合理分配与有效使用。另外，要加强资金的管理，注重支出的经济性、效益性，充分利用绩效评价结果，将结果作为改进预算管理和安排以后年度预算的重要依据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进一步加强预算项目实施过程的监督与执行，落实责任到相关负责人，有效推动项目执行结果应用。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认真收集并整理绩效评价佐证材料，满意度调查等资料保障绩效评价高质量完成。</w:t>
      </w:r>
    </w:p>
    <w:p w:rsidR="006A73DC" w:rsidRDefault="006A73DC" w:rsidP="006A73DC">
      <w:pPr>
        <w:spacing w:line="360" w:lineRule="auto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四、</w:t>
      </w:r>
      <w:r>
        <w:rPr>
          <w:rFonts w:ascii="黑体" w:eastAsia="黑体"/>
          <w:sz w:val="30"/>
        </w:rPr>
        <w:t>绩效自评</w:t>
      </w:r>
      <w:r>
        <w:rPr>
          <w:rFonts w:ascii="黑体" w:eastAsia="黑体" w:hint="eastAsia"/>
          <w:sz w:val="30"/>
        </w:rPr>
        <w:t>结果</w:t>
      </w:r>
      <w:r>
        <w:rPr>
          <w:rFonts w:ascii="黑体" w:eastAsia="黑体"/>
          <w:sz w:val="30"/>
        </w:rPr>
        <w:t>拟应用和公开</w:t>
      </w:r>
      <w:r>
        <w:rPr>
          <w:rFonts w:ascii="黑体" w:eastAsia="黑体" w:hint="eastAsia"/>
          <w:sz w:val="30"/>
        </w:rPr>
        <w:t>情况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我部门为推动预算绩效管理工作的可持续发展。将考核结果与</w:t>
      </w:r>
      <w:r>
        <w:rPr>
          <w:rFonts w:eastAsia="仿宋_GB2312"/>
          <w:sz w:val="30"/>
        </w:rPr>
        <w:t>下年度预算调整</w:t>
      </w:r>
      <w:r>
        <w:rPr>
          <w:rFonts w:eastAsia="仿宋_GB2312" w:hint="eastAsia"/>
          <w:sz w:val="30"/>
        </w:rPr>
        <w:t>和</w:t>
      </w:r>
      <w:r>
        <w:rPr>
          <w:rFonts w:eastAsia="仿宋_GB2312"/>
          <w:sz w:val="30"/>
        </w:rPr>
        <w:t>预算编制挂钩，作为重要依据，促进</w:t>
      </w:r>
      <w:r>
        <w:rPr>
          <w:rFonts w:eastAsia="仿宋_GB2312" w:hint="eastAsia"/>
          <w:sz w:val="30"/>
        </w:rPr>
        <w:t>单位</w:t>
      </w:r>
      <w:r>
        <w:rPr>
          <w:rFonts w:eastAsia="仿宋_GB2312"/>
          <w:sz w:val="30"/>
        </w:rPr>
        <w:t>严格按照预算要求完成工作，提高预算资金的利用效率。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以单位内控为保障手段，根据国家相关政策建立健全并逐步完善单位内控管理制度，加强管理意识，严格按照内部管理控制制度的相关制度和要求，积极履职单位的各种职责活动，对产生经济活动的风险进行防范和管控。</w:t>
      </w:r>
    </w:p>
    <w:p w:rsidR="006A73DC" w:rsidRPr="000F3A77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通过制定相关制度、实施措施和执行程序，逐步完善单位财务和业务相关制度。全方位提升单位从预算编制、预算执行、事中监控、事后评价的全过程执行效率和</w:t>
      </w:r>
      <w:r w:rsidRPr="000F3A77">
        <w:rPr>
          <w:rFonts w:eastAsia="仿宋_GB2312" w:hint="eastAsia"/>
          <w:sz w:val="30"/>
        </w:rPr>
        <w:t>质量。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  <w:r w:rsidRPr="000F3A77">
        <w:rPr>
          <w:rFonts w:eastAsia="仿宋_GB2312" w:hint="eastAsia"/>
          <w:sz w:val="30"/>
        </w:rPr>
        <w:t>除涉密内容外，我部门按照政府信息公开的有关规定，主动公开绩效评价结果的信息。</w:t>
      </w:r>
    </w:p>
    <w:p w:rsidR="006A73DC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</w:p>
    <w:p w:rsidR="006A73DC" w:rsidRPr="000F3A77" w:rsidRDefault="006A73DC" w:rsidP="006A73DC">
      <w:pPr>
        <w:spacing w:line="360" w:lineRule="auto"/>
        <w:ind w:firstLineChars="200" w:firstLine="600"/>
        <w:rPr>
          <w:rFonts w:eastAsia="仿宋_GB2312"/>
          <w:sz w:val="30"/>
        </w:rPr>
      </w:pPr>
    </w:p>
    <w:p w:rsidR="006A73DC" w:rsidRPr="000F3A77" w:rsidRDefault="006A73DC" w:rsidP="006A73DC">
      <w:pPr>
        <w:pStyle w:val="a5"/>
        <w:widowControl/>
        <w:shd w:val="clear" w:color="auto" w:fill="FFFFFF"/>
        <w:spacing w:beforeAutospacing="0" w:afterAutospacing="0" w:line="540" w:lineRule="atLeas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0F3A7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昌黎县机关事务服务中心</w:t>
      </w:r>
    </w:p>
    <w:p w:rsidR="006A73DC" w:rsidRPr="000F3A77" w:rsidRDefault="006A73DC" w:rsidP="006A73DC">
      <w:pPr>
        <w:pStyle w:val="a5"/>
        <w:widowControl/>
        <w:shd w:val="clear" w:color="auto" w:fill="FFFFFF"/>
        <w:spacing w:beforeAutospacing="0" w:afterAutospacing="0" w:line="540" w:lineRule="atLeas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0F3A7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2021年3月13日</w:t>
      </w:r>
    </w:p>
    <w:p w:rsidR="00DA2637" w:rsidRPr="00884A20" w:rsidRDefault="00DA2637" w:rsidP="00884A20">
      <w:pPr>
        <w:rPr>
          <w:szCs w:val="30"/>
        </w:rPr>
      </w:pPr>
    </w:p>
    <w:sectPr w:rsidR="00DA2637" w:rsidRPr="00884A20" w:rsidSect="005C19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460" w:rsidRDefault="00672460" w:rsidP="008D7E5A">
      <w:r>
        <w:separator/>
      </w:r>
    </w:p>
  </w:endnote>
  <w:endnote w:type="continuationSeparator" w:id="1">
    <w:p w:rsidR="00672460" w:rsidRDefault="00672460" w:rsidP="008D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9DF" w:rsidRDefault="0067246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C19DF" w:rsidRDefault="0067246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A73DC">
                  <w:rPr>
                    <w:noProof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460" w:rsidRDefault="00672460" w:rsidP="008D7E5A">
      <w:r>
        <w:separator/>
      </w:r>
    </w:p>
  </w:footnote>
  <w:footnote w:type="continuationSeparator" w:id="1">
    <w:p w:rsidR="00672460" w:rsidRDefault="00672460" w:rsidP="008D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054DAA"/>
    <w:multiLevelType w:val="singleLevel"/>
    <w:tmpl w:val="FB054D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5E335A"/>
    <w:multiLevelType w:val="singleLevel"/>
    <w:tmpl w:val="0B5E335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5564FF4"/>
    <w:multiLevelType w:val="singleLevel"/>
    <w:tmpl w:val="65564FF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E5A"/>
    <w:rsid w:val="00240C89"/>
    <w:rsid w:val="00304A70"/>
    <w:rsid w:val="003A1F7F"/>
    <w:rsid w:val="004230D4"/>
    <w:rsid w:val="005B3929"/>
    <w:rsid w:val="00615385"/>
    <w:rsid w:val="00672460"/>
    <w:rsid w:val="00694A65"/>
    <w:rsid w:val="006A73DC"/>
    <w:rsid w:val="00884A20"/>
    <w:rsid w:val="00892AFC"/>
    <w:rsid w:val="008D570D"/>
    <w:rsid w:val="008D7E5A"/>
    <w:rsid w:val="00902F77"/>
    <w:rsid w:val="00AA1C86"/>
    <w:rsid w:val="00B033A1"/>
    <w:rsid w:val="00DA2637"/>
    <w:rsid w:val="00E5332F"/>
    <w:rsid w:val="00EA6543"/>
    <w:rsid w:val="00FD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E5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7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E5A"/>
    <w:rPr>
      <w:sz w:val="18"/>
      <w:szCs w:val="18"/>
    </w:rPr>
  </w:style>
  <w:style w:type="paragraph" w:styleId="a5">
    <w:name w:val="Normal (Web)"/>
    <w:basedOn w:val="a"/>
    <w:qFormat/>
    <w:rsid w:val="006A73D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643</Words>
  <Characters>3669</Characters>
  <Application>Microsoft Office Word</Application>
  <DocSecurity>0</DocSecurity>
  <Lines>30</Lines>
  <Paragraphs>8</Paragraphs>
  <ScaleCrop>false</ScaleCrop>
  <Company>MS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8</cp:revision>
  <dcterms:created xsi:type="dcterms:W3CDTF">2025-06-30T07:57:00Z</dcterms:created>
  <dcterms:modified xsi:type="dcterms:W3CDTF">2026-02-26T09:06:00Z</dcterms:modified>
</cp:coreProperties>
</file>