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黑体"/>
          <w:b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 w:eastAsia="黑体"/>
          <w:b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 w:eastAsia="黑体"/>
          <w:b/>
          <w:sz w:val="32"/>
          <w:szCs w:val="32"/>
        </w:rPr>
      </w:pPr>
    </w:p>
    <w:p>
      <w:pPr>
        <w:spacing w:line="360" w:lineRule="auto"/>
        <w:jc w:val="center"/>
        <w:rPr>
          <w:rFonts w:ascii="黑体" w:eastAsia="黑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昌黎县机关事务服务中心</w:t>
      </w:r>
      <w:r>
        <w:rPr>
          <w:rFonts w:hint="eastAsia" w:ascii="黑体" w:eastAsia="黑体"/>
          <w:sz w:val="44"/>
          <w:szCs w:val="44"/>
        </w:rPr>
        <w:br w:type="textWrapping"/>
      </w:r>
      <w:r>
        <w:rPr>
          <w:rFonts w:hint="eastAsia" w:ascii="黑体" w:eastAsia="黑体"/>
          <w:sz w:val="44"/>
          <w:szCs w:val="44"/>
        </w:rPr>
        <w:t>2021年度部门整体支出绩效自评报告</w:t>
      </w:r>
    </w:p>
    <w:p>
      <w:pPr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一、部门概况</w:t>
      </w:r>
    </w:p>
    <w:p>
      <w:pPr>
        <w:spacing w:beforeLines="50" w:line="360" w:lineRule="auto"/>
        <w:ind w:firstLine="640" w:firstLineChars="200"/>
        <w:outlineLvl w:val="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（一）部门基本概况及主</w:t>
      </w:r>
      <w:r>
        <w:rPr>
          <w:rFonts w:ascii="楷体" w:hAnsi="楷体" w:eastAsia="楷体"/>
          <w:sz w:val="32"/>
          <w:szCs w:val="32"/>
        </w:rPr>
        <w:t>要职责职能</w:t>
      </w:r>
      <w:r>
        <w:rPr>
          <w:rFonts w:hint="eastAsia" w:ascii="楷体" w:hAnsi="楷体" w:eastAsia="楷体"/>
          <w:sz w:val="32"/>
          <w:szCs w:val="32"/>
        </w:rPr>
        <w:t>:</w:t>
      </w:r>
    </w:p>
    <w:p>
      <w:pPr>
        <w:spacing w:beforeLines="50" w:line="360" w:lineRule="auto"/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昌黎县机关事务服务中心职能主要包括两大部分：</w:t>
      </w:r>
    </w:p>
    <w:p>
      <w:pPr>
        <w:adjustRightIn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机关事务管理：管理局日常性事务；机关办公用房登记使用调配和管理；党政机关办公用房的管理和使用；全县公共机构节能监督管理；全县公务用车改革日常工作，督导检查全县公务用车制度改革工作；负责公务车辆信息化管理平台运行，承担公务车辆管理工作；县委、县政府交办的其他工作任务等。</w:t>
      </w:r>
    </w:p>
    <w:p>
      <w:pPr>
        <w:spacing w:line="61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昌黎县市民中心综合后勤服务保障：市民中心、会议厅公共设施设备维护维修、水电暖网络通讯等供应保障以及安全保卫、卫生保洁、绿化美化、环境秩序、会务服务等综合管理服务；县政府招待所、昌黎宾馆的管理；县委、县政府交办的其他工作任务等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昌黎县机关事务服务中心挂靠县委办公室，为财政性资金基本保障经费事业单位，机构规格相当于正科级。机关事务管理局全额事业编制43人。机关事务管理局设7个职能股室，即办公室(含设备管理股)、财务股、行政管理股、产业发展股、公共机构节能管理股、保卫股、公务车辆管理股。我单位为一级预算单位，无独立核算的下属预算单位。</w:t>
      </w:r>
    </w:p>
    <w:p>
      <w:pPr>
        <w:numPr>
          <w:ilvl w:val="0"/>
          <w:numId w:val="1"/>
        </w:numPr>
        <w:spacing w:beforeLines="50" w:line="360" w:lineRule="auto"/>
        <w:ind w:firstLine="640" w:firstLineChars="200"/>
        <w:outlineLvl w:val="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机构设置：</w:t>
      </w:r>
    </w:p>
    <w:tbl>
      <w:tblPr>
        <w:tblStyle w:val="5"/>
        <w:tblpPr w:leftFromText="180" w:rightFromText="180" w:vertAnchor="text" w:horzAnchor="margin" w:tblpXSpec="center" w:tblpY="212"/>
        <w:tblW w:w="9039" w:type="dxa"/>
        <w:tblInd w:w="0" w:type="dxa"/>
        <w:tblLayout w:type="fixed"/>
        <w:tblCellMar>
          <w:top w:w="64" w:type="dxa"/>
          <w:left w:w="108" w:type="dxa"/>
          <w:bottom w:w="0" w:type="dxa"/>
          <w:right w:w="94" w:type="dxa"/>
        </w:tblCellMar>
      </w:tblPr>
      <w:tblGrid>
        <w:gridCol w:w="3227"/>
        <w:gridCol w:w="1417"/>
        <w:gridCol w:w="1418"/>
        <w:gridCol w:w="2977"/>
      </w:tblGrid>
      <w:tr>
        <w:tblPrEx>
          <w:tblCellMar>
            <w:top w:w="64" w:type="dxa"/>
            <w:left w:w="108" w:type="dxa"/>
            <w:bottom w:w="0" w:type="dxa"/>
            <w:right w:w="94" w:type="dxa"/>
          </w:tblCellMar>
        </w:tblPrEx>
        <w:trPr>
          <w:trHeight w:val="629" w:hRule="atLeast"/>
        </w:trPr>
        <w:tc>
          <w:tcPr>
            <w:tcW w:w="3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ind w:right="14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单位名称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ind w:left="36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单位性质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ind w:left="0" w:leftChars="-50" w:right="48" w:hanging="105" w:hangingChars="44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单位规格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ind w:right="13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经费保障形式</w:t>
            </w:r>
          </w:p>
        </w:tc>
      </w:tr>
      <w:tr>
        <w:tblPrEx>
          <w:tblCellMar>
            <w:top w:w="64" w:type="dxa"/>
            <w:left w:w="108" w:type="dxa"/>
            <w:bottom w:w="0" w:type="dxa"/>
            <w:right w:w="94" w:type="dxa"/>
          </w:tblCellMar>
        </w:tblPrEx>
        <w:trPr>
          <w:trHeight w:val="317" w:hRule="atLeast"/>
        </w:trPr>
        <w:tc>
          <w:tcPr>
            <w:tcW w:w="3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4"/>
                <w:highlight w:val="yellow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昌黎县机关事务服务中心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highlight w:val="yellow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事业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ind w:left="0" w:leftChars="-50" w:right="48" w:hanging="105" w:hangingChars="44"/>
              <w:jc w:val="center"/>
              <w:rPr>
                <w:rFonts w:ascii="仿宋_GB2312" w:hAnsi="仿宋" w:eastAsia="仿宋_GB2312"/>
                <w:sz w:val="24"/>
                <w:highlight w:val="yellow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正科级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highlight w:val="yellow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财政性资金基本保证经费</w:t>
            </w:r>
          </w:p>
        </w:tc>
      </w:tr>
      <w:tr>
        <w:tblPrEx>
          <w:tblCellMar>
            <w:top w:w="64" w:type="dxa"/>
            <w:left w:w="108" w:type="dxa"/>
            <w:bottom w:w="0" w:type="dxa"/>
            <w:right w:w="94" w:type="dxa"/>
          </w:tblCellMar>
        </w:tblPrEx>
        <w:trPr>
          <w:trHeight w:val="314" w:hRule="atLeast"/>
        </w:trPr>
        <w:tc>
          <w:tcPr>
            <w:tcW w:w="3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办公室(含设备管理股)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highlight w:val="yellow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事业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ind w:left="0" w:leftChars="-50" w:right="48" w:hanging="105" w:hangingChars="44"/>
              <w:jc w:val="center"/>
              <w:rPr>
                <w:rFonts w:ascii="仿宋_GB2312" w:hAnsi="仿宋" w:eastAsia="仿宋_GB2312"/>
                <w:sz w:val="24"/>
                <w:highlight w:val="yellow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股级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highlight w:val="yellow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财政性资金基本保证经费</w:t>
            </w:r>
          </w:p>
        </w:tc>
      </w:tr>
      <w:tr>
        <w:tblPrEx>
          <w:tblCellMar>
            <w:top w:w="64" w:type="dxa"/>
            <w:left w:w="108" w:type="dxa"/>
            <w:bottom w:w="0" w:type="dxa"/>
            <w:right w:w="94" w:type="dxa"/>
          </w:tblCellMar>
        </w:tblPrEx>
        <w:trPr>
          <w:trHeight w:val="314" w:hRule="atLeast"/>
        </w:trPr>
        <w:tc>
          <w:tcPr>
            <w:tcW w:w="3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财务股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highlight w:val="yellow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事业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ind w:left="0" w:leftChars="-50" w:right="48" w:hanging="105" w:hangingChars="44"/>
              <w:jc w:val="center"/>
              <w:rPr>
                <w:rFonts w:ascii="仿宋_GB2312" w:hAnsi="仿宋" w:eastAsia="仿宋_GB2312"/>
                <w:sz w:val="24"/>
                <w:highlight w:val="yellow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股级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highlight w:val="yellow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财政性资金基本保证经费</w:t>
            </w:r>
          </w:p>
        </w:tc>
      </w:tr>
      <w:tr>
        <w:tblPrEx>
          <w:tblCellMar>
            <w:top w:w="64" w:type="dxa"/>
            <w:left w:w="108" w:type="dxa"/>
            <w:bottom w:w="0" w:type="dxa"/>
            <w:right w:w="94" w:type="dxa"/>
          </w:tblCellMar>
        </w:tblPrEx>
        <w:trPr>
          <w:trHeight w:val="314" w:hRule="atLeast"/>
        </w:trPr>
        <w:tc>
          <w:tcPr>
            <w:tcW w:w="3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行政管理股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highlight w:val="yellow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事业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ind w:left="0" w:leftChars="-50" w:right="48" w:hanging="105" w:hangingChars="44"/>
              <w:jc w:val="center"/>
              <w:rPr>
                <w:rFonts w:ascii="仿宋_GB2312" w:hAnsi="仿宋" w:eastAsia="仿宋_GB2312"/>
                <w:sz w:val="24"/>
                <w:highlight w:val="yellow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股级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highlight w:val="yellow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财政性资金基本保证经费</w:t>
            </w:r>
          </w:p>
        </w:tc>
      </w:tr>
      <w:tr>
        <w:tblPrEx>
          <w:tblCellMar>
            <w:top w:w="64" w:type="dxa"/>
            <w:left w:w="108" w:type="dxa"/>
            <w:bottom w:w="0" w:type="dxa"/>
            <w:right w:w="94" w:type="dxa"/>
          </w:tblCellMar>
        </w:tblPrEx>
        <w:trPr>
          <w:trHeight w:val="314" w:hRule="atLeast"/>
        </w:trPr>
        <w:tc>
          <w:tcPr>
            <w:tcW w:w="3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产业发展股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highlight w:val="yellow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事业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ind w:left="0" w:leftChars="-50" w:right="48" w:hanging="105" w:hangingChars="44"/>
              <w:jc w:val="center"/>
              <w:rPr>
                <w:rFonts w:ascii="仿宋_GB2312" w:hAnsi="仿宋" w:eastAsia="仿宋_GB2312"/>
                <w:sz w:val="24"/>
                <w:highlight w:val="yellow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股级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highlight w:val="yellow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财政性资金基本保证经费</w:t>
            </w:r>
          </w:p>
        </w:tc>
      </w:tr>
      <w:tr>
        <w:tblPrEx>
          <w:tblCellMar>
            <w:top w:w="64" w:type="dxa"/>
            <w:left w:w="108" w:type="dxa"/>
            <w:bottom w:w="0" w:type="dxa"/>
            <w:right w:w="94" w:type="dxa"/>
          </w:tblCellMar>
        </w:tblPrEx>
        <w:trPr>
          <w:trHeight w:val="314" w:hRule="atLeast"/>
        </w:trPr>
        <w:tc>
          <w:tcPr>
            <w:tcW w:w="3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公共机构节能股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highlight w:val="yellow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事业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ind w:left="0" w:leftChars="-50" w:right="48" w:hanging="105" w:hangingChars="44"/>
              <w:jc w:val="center"/>
              <w:rPr>
                <w:rFonts w:ascii="仿宋_GB2312" w:hAnsi="仿宋" w:eastAsia="仿宋_GB2312"/>
                <w:sz w:val="24"/>
                <w:highlight w:val="yellow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股级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highlight w:val="yellow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财政性资金基本保证经费</w:t>
            </w:r>
          </w:p>
        </w:tc>
      </w:tr>
      <w:tr>
        <w:tblPrEx>
          <w:tblCellMar>
            <w:top w:w="64" w:type="dxa"/>
            <w:left w:w="108" w:type="dxa"/>
            <w:bottom w:w="0" w:type="dxa"/>
            <w:right w:w="94" w:type="dxa"/>
          </w:tblCellMar>
        </w:tblPrEx>
        <w:trPr>
          <w:trHeight w:val="314" w:hRule="atLeast"/>
        </w:trPr>
        <w:tc>
          <w:tcPr>
            <w:tcW w:w="3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保卫股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highlight w:val="yellow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事业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ind w:left="0" w:leftChars="-50" w:right="48" w:hanging="105" w:hangingChars="44"/>
              <w:jc w:val="center"/>
              <w:rPr>
                <w:rFonts w:ascii="仿宋_GB2312" w:hAnsi="仿宋" w:eastAsia="仿宋_GB2312"/>
                <w:sz w:val="24"/>
                <w:highlight w:val="yellow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股级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highlight w:val="yellow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财政性资金基本保证经费</w:t>
            </w:r>
          </w:p>
        </w:tc>
      </w:tr>
      <w:tr>
        <w:tblPrEx>
          <w:tblCellMar>
            <w:top w:w="64" w:type="dxa"/>
            <w:left w:w="108" w:type="dxa"/>
            <w:bottom w:w="0" w:type="dxa"/>
            <w:right w:w="94" w:type="dxa"/>
          </w:tblCellMar>
        </w:tblPrEx>
        <w:trPr>
          <w:trHeight w:val="314" w:hRule="atLeast"/>
        </w:trPr>
        <w:tc>
          <w:tcPr>
            <w:tcW w:w="3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公务车辆管理股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highlight w:val="yellow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事业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ind w:left="0" w:leftChars="-50" w:right="48" w:hanging="105" w:hangingChars="44"/>
              <w:jc w:val="center"/>
              <w:rPr>
                <w:rFonts w:ascii="仿宋_GB2312" w:hAnsi="仿宋" w:eastAsia="仿宋_GB2312"/>
                <w:sz w:val="24"/>
                <w:highlight w:val="yellow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股级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highlight w:val="yellow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财政性资金基本保证经费</w:t>
            </w:r>
          </w:p>
        </w:tc>
      </w:tr>
    </w:tbl>
    <w:p>
      <w:pPr>
        <w:spacing w:line="360" w:lineRule="auto"/>
        <w:ind w:firstLine="600" w:firstLineChars="200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我单位为一级预算单位，无独立核算下属单位</w:t>
      </w:r>
    </w:p>
    <w:tbl>
      <w:tblPr>
        <w:tblStyle w:val="5"/>
        <w:tblW w:w="9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917"/>
        <w:gridCol w:w="926"/>
        <w:gridCol w:w="1264"/>
        <w:gridCol w:w="660"/>
        <w:gridCol w:w="396"/>
        <w:gridCol w:w="594"/>
        <w:gridCol w:w="501"/>
        <w:gridCol w:w="474"/>
        <w:gridCol w:w="450"/>
        <w:gridCol w:w="540"/>
        <w:gridCol w:w="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6540" w:type="dxa"/>
            <w:gridSpan w:val="7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昌黎县机关事务服务中心</w:t>
            </w:r>
          </w:p>
        </w:tc>
        <w:tc>
          <w:tcPr>
            <w:tcW w:w="2496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  <w:jc w:val="center"/>
        </w:trPr>
        <w:tc>
          <w:tcPr>
            <w:tcW w:w="1783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917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单位性质</w:t>
            </w:r>
          </w:p>
        </w:tc>
        <w:tc>
          <w:tcPr>
            <w:tcW w:w="926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单位规格</w:t>
            </w:r>
          </w:p>
        </w:tc>
        <w:tc>
          <w:tcPr>
            <w:tcW w:w="1264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经费保障形式</w:t>
            </w:r>
          </w:p>
        </w:tc>
        <w:tc>
          <w:tcPr>
            <w:tcW w:w="660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车辆编制数</w:t>
            </w:r>
          </w:p>
        </w:tc>
        <w:tc>
          <w:tcPr>
            <w:tcW w:w="9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编制人数</w:t>
            </w:r>
          </w:p>
        </w:tc>
        <w:tc>
          <w:tcPr>
            <w:tcW w:w="97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在职人数</w:t>
            </w:r>
          </w:p>
        </w:tc>
        <w:tc>
          <w:tcPr>
            <w:tcW w:w="1521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离退人数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tblHeader/>
          <w:jc w:val="center"/>
        </w:trPr>
        <w:tc>
          <w:tcPr>
            <w:tcW w:w="1783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7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6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0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</w:t>
            </w:r>
          </w:p>
        </w:tc>
        <w:tc>
          <w:tcPr>
            <w:tcW w:w="59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事业</w:t>
            </w:r>
          </w:p>
        </w:tc>
        <w:tc>
          <w:tcPr>
            <w:tcW w:w="50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</w:t>
            </w:r>
          </w:p>
        </w:tc>
        <w:tc>
          <w:tcPr>
            <w:tcW w:w="47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事业</w:t>
            </w:r>
          </w:p>
        </w:tc>
        <w:tc>
          <w:tcPr>
            <w:tcW w:w="45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离休</w:t>
            </w: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退休</w:t>
            </w:r>
          </w:p>
        </w:tc>
        <w:tc>
          <w:tcPr>
            <w:tcW w:w="53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退职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8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合计</w:t>
            </w:r>
          </w:p>
        </w:tc>
        <w:tc>
          <w:tcPr>
            <w:tcW w:w="917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2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9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43</w:t>
            </w:r>
          </w:p>
        </w:tc>
        <w:tc>
          <w:tcPr>
            <w:tcW w:w="50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7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37</w:t>
            </w:r>
          </w:p>
        </w:tc>
        <w:tc>
          <w:tcPr>
            <w:tcW w:w="45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3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8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昌黎县机关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事务服务中心</w:t>
            </w:r>
          </w:p>
        </w:tc>
        <w:tc>
          <w:tcPr>
            <w:tcW w:w="917" w:type="dxa"/>
            <w:noWrap/>
            <w:vAlign w:val="center"/>
          </w:tcPr>
          <w:p>
            <w:pPr>
              <w:spacing w:line="300" w:lineRule="exact"/>
              <w:ind w:right="118" w:rightChars="5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事业</w:t>
            </w:r>
          </w:p>
        </w:tc>
        <w:tc>
          <w:tcPr>
            <w:tcW w:w="926" w:type="dxa"/>
            <w:noWrap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正科级</w:t>
            </w:r>
          </w:p>
        </w:tc>
        <w:tc>
          <w:tcPr>
            <w:tcW w:w="126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财政性资金基本保证经费</w:t>
            </w:r>
          </w:p>
        </w:tc>
        <w:tc>
          <w:tcPr>
            <w:tcW w:w="6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43</w:t>
            </w:r>
          </w:p>
        </w:tc>
        <w:tc>
          <w:tcPr>
            <w:tcW w:w="50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37</w:t>
            </w:r>
          </w:p>
        </w:tc>
        <w:tc>
          <w:tcPr>
            <w:tcW w:w="45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（三）当年部门预算</w:t>
      </w:r>
      <w:r>
        <w:rPr>
          <w:rFonts w:eastAsia="仿宋_GB2312"/>
          <w:sz w:val="32"/>
          <w:szCs w:val="32"/>
        </w:rPr>
        <w:t>及执行情况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360" w:lineRule="auto"/>
        <w:ind w:firstLine="600" w:firstLineChars="200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2021年本部门整体年初预算安排1207.43万元，年中调整后预算数为1404.71万元，决算数1404.71万元，年度实际支出率达100.00%。</w:t>
      </w:r>
    </w:p>
    <w:p>
      <w:pPr>
        <w:spacing w:line="360" w:lineRule="auto"/>
        <w:ind w:firstLine="600" w:firstLineChars="200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2021年部门项目支出共计10个，年初预算安排1199.86万元，年中调整后预算数为1329.55万元，决算数1331.12元，当年度预算实际支出率达100.00%，决算数包含上年度结转项目资金。</w:t>
      </w:r>
    </w:p>
    <w:p>
      <w:pPr>
        <w:spacing w:line="360" w:lineRule="auto"/>
        <w:ind w:firstLine="600" w:firstLineChars="200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截至2021年12月31日，我部门资产合计金额497.65万元，其中：流动资产1.10万元，非流动资产496.55万元。</w:t>
      </w:r>
    </w:p>
    <w:p>
      <w:pPr>
        <w:spacing w:line="360" w:lineRule="auto"/>
        <w:ind w:firstLine="600" w:firstLineChars="200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固定资产：原值总计803.82万元，折旧342.74万元，净值461.08万元。</w:t>
      </w:r>
    </w:p>
    <w:p>
      <w:pPr>
        <w:spacing w:line="360" w:lineRule="auto"/>
        <w:ind w:firstLine="600" w:firstLineChars="200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无形资产：原值总计59.40万元，折旧23.93万元，净值35.47万元。</w:t>
      </w:r>
    </w:p>
    <w:p>
      <w:pPr>
        <w:spacing w:line="360" w:lineRule="auto"/>
        <w:ind w:firstLine="600" w:firstLineChars="200"/>
        <w:jc w:val="left"/>
        <w:rPr>
          <w:rFonts w:eastAsia="仿宋_GB2312"/>
          <w:sz w:val="30"/>
        </w:rPr>
      </w:pPr>
    </w:p>
    <w:p>
      <w:pPr>
        <w:spacing w:line="360" w:lineRule="auto"/>
        <w:ind w:firstLine="600" w:firstLineChars="200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负债情况：其他应付款共计1.10万元</w:t>
      </w:r>
    </w:p>
    <w:p>
      <w:pPr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二、部门整体支出绩效实现情况</w:t>
      </w:r>
    </w:p>
    <w:p>
      <w:pPr>
        <w:spacing w:line="360" w:lineRule="auto"/>
        <w:ind w:firstLine="600" w:firstLineChars="200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按照昌黎县财政局关于开展2021年度预算绩效自评工作要求，我委认真组织本部门及所属预算单位，开展绩效自评工作。专门成立由科室主要人员组成的绩效自评工作组织机构，明确了绩效自评职责及人员分工，按照既定绩效目标、指标实施自我评价，圆满完成了2021年度预算绩效自评价任务，并按规定时限报送县财政局。</w:t>
      </w:r>
    </w:p>
    <w:p>
      <w:pPr>
        <w:spacing w:line="360" w:lineRule="auto"/>
        <w:ind w:firstLine="600" w:firstLineChars="200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根据预算绩效管理要求，2021年本部门绩效自评项目共 10个，其中评价等级为“优”项目10 个，“良”项目0个，“中”项目0个，“差”项目0个，评优率为100.00%。其中，一般公共预算一级项目10个，二级项目0个，共涉及资金1329.55万元，占一般公共预算项目支出总额的100.00%；政府性基金预算一级项目0个，二级项目0个, 共涉及资金0.00万元，占政府性基金预算项目支出总额的0.00%；社保基金预算一级项目0个，二级项目0个, 共涉及资金0.00万元，占社保基金预算项目支出总额的0.00%；国有资本经营预算一级项目0个，二级项目0个, 共涉及资金0.00万元，占国有资本经营预算项目支出总额的0.00%。自评情况详见《2021年度市级部门绩效自评情况统计表》《2021年度县级项目支出绩效自评表》。</w:t>
      </w:r>
    </w:p>
    <w:p>
      <w:pPr>
        <w:spacing w:line="360" w:lineRule="auto"/>
        <w:ind w:firstLine="600" w:firstLineChars="200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本部门整体支出合计1406.27万元，包括基本支出75.15万元，项目支出1331.12万元，其他支出0.00万元。。部门整体支出绩效评价自评综合得分90.83分，综合评价等级“优”。自评情况详见《2021年度部门整体支出绩效自评情况表》</w:t>
      </w:r>
    </w:p>
    <w:p>
      <w:pPr>
        <w:numPr>
          <w:ilvl w:val="0"/>
          <w:numId w:val="2"/>
        </w:num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绩效目标实现情况</w:t>
      </w:r>
    </w:p>
    <w:p>
      <w:pPr>
        <w:numPr>
          <w:ilvl w:val="0"/>
          <w:numId w:val="3"/>
        </w:numPr>
        <w:spacing w:line="360" w:lineRule="auto"/>
        <w:ind w:firstLine="320" w:firstLineChars="1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部门整体支出绩效目标完成情况</w:t>
      </w:r>
    </w:p>
    <w:p>
      <w:pPr>
        <w:spacing w:line="360" w:lineRule="auto"/>
        <w:ind w:firstLine="640" w:firstLineChars="200"/>
        <w:rPr>
          <w:rFonts w:eastAsia="方正仿宋_GBK"/>
          <w:sz w:val="28"/>
        </w:rPr>
      </w:pPr>
      <w:r>
        <w:rPr>
          <w:rFonts w:hint="eastAsia" w:eastAsia="仿宋_GB2312"/>
          <w:sz w:val="32"/>
          <w:szCs w:val="32"/>
        </w:rPr>
        <w:t>紧紧围绕县委、县政府中心工作，认真贯彻落实《机关事务管理条例》及《河北省机关事务管理办法》文件精神，在本年度内，做好预算安排及支出工作，因执行中增加项目超出本年度预算，加强机关事务管理，规范机关事务工作，做好中央空调等相关设备设施的维保工作、做好机关食堂、会议服务等管理工作，保证人员的工资支付率达到100%，及时缴纳各类保险，从而保障市民中心的正常运行和市民中心内部人员的正常工作环境，保障我单位人员的工资发放。达到降低运行成本，建设节约型机关的目标，力争将机关事务管理工作水平迈向新台阶</w:t>
      </w:r>
      <w:r>
        <w:rPr>
          <w:rFonts w:hint="eastAsia" w:eastAsia="方正仿宋_GBK"/>
          <w:sz w:val="28"/>
        </w:rPr>
        <w:t>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部门认真履职，基本支出保障了机关在人员待遇发放和日常办公需求，完成了年初目标，项目支出保障了各个项目正常实施，保障了市民中心正常运转，个别项目缩减预算造成部分偏差，其他完成情况良好，财务管理和资产管理情况良好，绩效管理达到部门要求，绩效评价100.00%覆盖。我部门按相关要求、程序、预算报表格式编制部门预算，按照部门决算布置要求进行决算编制。按规定的时间报送财政局并及时在昌黎县府门户网站进行公示，部门产出执行良好，部门执行效果达到指标要求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我部门人员管理未出现超出人员编制情况。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算编制情况，按照《中华人民共和国预算法》及其实施条例的相关规定科学合理编制预算，严格执行预算。完成情况良好，支出进度良好，出现部分项目结转资金，在执行过程中与年初预算略有偏差，预算调整率超出16.34%；支出进度率100%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严格按照“三公”经费的政策要求执，因未发生三公经费。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严格执行政府采购程序，执行率100.00%。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我部门建立了相关的内控管理制度，使得财务管理更加规范，严格按照规章规定执行。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对固定资产的管理严格执行上级主管部门要求，及时登记资产卡片并入账100.00%，定期进行清查和盘点。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绩效管理，认真分析本部门履行职责，细致划分绩效目标，使得绩效目标贴近实际工作内容，更易进行评价，100.0%对项目资金进行评价。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我部门按相关要求、程序、预算报表格式编制部门预算，按照部门决算布置要求进行决算编制。按规定的时间报送财政局并及时在昌黎政府门户网站进行公示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（二）项目支出绩效目标完成情况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我部门2021年年初专项项目5个，执行过程中调增5个共计10个项目，涉及项目资金1329.55万元。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2021年度履职期间，认真执行年初绩效目标。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合理安排资金，并严格把关，做到严谨规范，对于办公需求及时满足，认真按时限、按要求、按规定，严把程序关和手续关，保障了机关正常运转。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1、本单位人员保障类项目，保障了在职37名人员工资和福利，提高工作履职积极性，执行情况良好。。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2、中心运转类经费，保障了市民中心35家单位的正常运转，基本保障水电和零星维修项目。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3、专项类维修项目保障了市民中心各类各设备的正常运转。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未有未完成绩效目标或偏离绩效目标较大的内容。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存在问题：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绩效目标设立不够细化和量化，资金使用效益有待进一步提</w:t>
      </w:r>
      <w:r>
        <w:rPr>
          <w:rFonts w:hint="eastAsia" w:eastAsia="仿宋_GB2312"/>
          <w:sz w:val="32"/>
          <w:szCs w:val="32"/>
        </w:rPr>
        <w:t>、缺少更加具体的佐证材料。</w:t>
      </w:r>
    </w:p>
    <w:p>
      <w:pPr>
        <w:numPr>
          <w:ilvl w:val="0"/>
          <w:numId w:val="2"/>
        </w:num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绩效目标设定质量情况</w:t>
      </w:r>
    </w:p>
    <w:p>
      <w:pPr>
        <w:numPr>
          <w:ilvl w:val="0"/>
          <w:numId w:val="4"/>
        </w:num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整体绩效目标设定质量情况。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通过对2021年的整体评价结果来看，2021年我部门整理绩效目标设定质量情况良好，便于各个项目的评价，有效反应部门的整体运转情况和出现的具体问题，利于下年度整改和进一步提高部门运转效率。</w:t>
      </w:r>
    </w:p>
    <w:p>
      <w:pPr>
        <w:numPr>
          <w:ilvl w:val="0"/>
          <w:numId w:val="4"/>
        </w:num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项目支出绩效目标设定质量情况。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我部门年初项目支出设定的绩效目标质量较好，全面的反映了各个项目的运行情况，绩效指标比较全面、科学合理易于评价。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我部门为推动预算绩效管理工作的可持续发展。将考核结果与</w:t>
      </w:r>
      <w:r>
        <w:rPr>
          <w:rFonts w:eastAsia="仿宋_GB2312"/>
          <w:sz w:val="32"/>
          <w:szCs w:val="32"/>
        </w:rPr>
        <w:t>下年度预算调整</w:t>
      </w:r>
      <w:r>
        <w:rPr>
          <w:rFonts w:hint="eastAsia" w:eastAsia="仿宋_GB2312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预算编制挂钩，作为重要依据，促进</w:t>
      </w:r>
      <w:r>
        <w:rPr>
          <w:rFonts w:hint="eastAsia" w:eastAsia="仿宋_GB2312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严格按照预算要求完成工作，提高预算资金的利用效率。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以单位内控为保障手段，根据国家相关政策建立健全并逐步完善单位内控管理制度，加强管理意识，严格按照内部管理控制制度的相关制度和要求，积极履职单位的各种职责活动，对产生经济活动的风险进行防范和管控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通过制定相关制度、实施措施和执行程序，逐步完善单位财务和业务相关制度。全方位提升单位从预算编制、预算执行、事中监控、事后评价的全过程执行效率和质量。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五、整改措施及结果应用</w:t>
      </w:r>
    </w:p>
    <w:p>
      <w:pPr>
        <w:pStyle w:val="4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楷体" w:hAnsi="楷体" w:eastAsia="楷体" w:cs="??_GB2312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??_GB2312"/>
          <w:bCs/>
          <w:color w:val="333333"/>
          <w:sz w:val="32"/>
          <w:szCs w:val="32"/>
          <w:shd w:val="clear" w:color="auto" w:fill="FFFFFF"/>
        </w:rPr>
        <w:t>（一）结果应用</w:t>
      </w:r>
    </w:p>
    <w:p>
      <w:pPr>
        <w:spacing w:line="360" w:lineRule="auto"/>
        <w:ind w:firstLine="640" w:firstLineChars="200"/>
        <w:rPr>
          <w:rFonts w:ascii="仿宋_GB2312" w:hAnsi="仿宋" w:eastAsia="仿宋_GB2312" w:cs="??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??_GB2312"/>
          <w:color w:val="333333"/>
          <w:sz w:val="32"/>
          <w:szCs w:val="32"/>
          <w:shd w:val="clear" w:color="auto" w:fill="FFFFFF"/>
        </w:rPr>
        <w:t>本次绩效自评为优，结果及内容将在政府官网进行公开，作为以后年度资金分配依据，接受社会监督。</w:t>
      </w:r>
    </w:p>
    <w:p>
      <w:pPr>
        <w:pStyle w:val="4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楷体" w:hAnsi="楷体" w:eastAsia="楷体" w:cs="??_GB2312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??_GB2312"/>
          <w:bCs/>
          <w:color w:val="333333"/>
          <w:sz w:val="32"/>
          <w:szCs w:val="32"/>
          <w:shd w:val="clear" w:color="auto" w:fill="FFFFFF"/>
        </w:rPr>
        <w:t>（二）整改措施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??_GB2312"/>
          <w:color w:val="333333"/>
          <w:sz w:val="32"/>
          <w:szCs w:val="32"/>
          <w:shd w:val="clear" w:color="auto" w:fill="FFFFFF"/>
        </w:rPr>
        <w:t>1、</w:t>
      </w:r>
      <w:r>
        <w:rPr>
          <w:rFonts w:hint="eastAsia" w:eastAsia="仿宋_GB2312"/>
          <w:sz w:val="32"/>
          <w:szCs w:val="32"/>
        </w:rPr>
        <w:t>针对绩效自评涉及满意度调查等方面存在的问题，研究制定的整改思路和工作措施，在</w:t>
      </w:r>
      <w:r>
        <w:rPr>
          <w:rFonts w:hint="eastAsia" w:eastAsia="仿宋_GB2312"/>
          <w:sz w:val="32"/>
          <w:szCs w:val="32"/>
          <w:lang w:val="zh-CN"/>
        </w:rPr>
        <w:t>健全制度、完善政策、改进管理、优化</w:t>
      </w:r>
      <w:r>
        <w:rPr>
          <w:rFonts w:hint="eastAsia" w:eastAsia="仿宋_GB2312"/>
          <w:sz w:val="32"/>
          <w:szCs w:val="32"/>
        </w:rPr>
        <w:t>流程等提高部门绩效方面的具体做法，在</w:t>
      </w:r>
      <w:r>
        <w:rPr>
          <w:rFonts w:hint="eastAsia" w:eastAsia="仿宋_GB2312"/>
          <w:sz w:val="32"/>
          <w:szCs w:val="32"/>
          <w:lang w:val="zh-CN"/>
        </w:rPr>
        <w:t>整合资金、调整项目及改善投向等优化部门支出结构方面的安排等</w:t>
      </w:r>
      <w:r>
        <w:rPr>
          <w:rFonts w:hint="eastAsia" w:ascii="仿宋_GB2312" w:eastAsia="仿宋_GB2312"/>
          <w:sz w:val="32"/>
          <w:szCs w:val="32"/>
          <w:lang w:val="zh-CN"/>
        </w:rPr>
        <w:t>结果应用情况。</w:t>
      </w:r>
    </w:p>
    <w:p>
      <w:pPr>
        <w:pStyle w:val="4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仿宋_GB2312" w:hAnsi="仿宋" w:eastAsia="仿宋_GB2312" w:cs="??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??_GB2312"/>
          <w:color w:val="333333"/>
          <w:sz w:val="32"/>
          <w:szCs w:val="32"/>
          <w:shd w:val="clear" w:color="auto" w:fill="FFFFFF"/>
        </w:rPr>
        <w:t>2、细化预算编制工作，认真做好预算的编制。要进一步加强预算管理意识，严格按照预算编制的相关制度和要求，公用经费根据单位的年度工作重点和项目专项工作规划，本着“勤俭节约、保障运转”的原则进行预算的编制，编制范围尽可能的全面，进一步提高预算编制的完整性、科学性、合理性。</w:t>
      </w:r>
    </w:p>
    <w:p>
      <w:pPr>
        <w:pStyle w:val="4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仿宋_GB2312" w:hAnsi="仿宋" w:eastAsia="仿宋_GB2312" w:cs="??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??_GB2312"/>
          <w:color w:val="333333"/>
          <w:sz w:val="32"/>
          <w:szCs w:val="32"/>
          <w:shd w:val="clear" w:color="auto" w:fill="FFFFFF"/>
        </w:rPr>
        <w:t>3、加强预算执行力度，减少资金沉淀，要加快督促项目工程的实施和验收，完善财务报账手续，防止项目资金滞留。</w:t>
      </w:r>
    </w:p>
    <w:p>
      <w:pPr>
        <w:pStyle w:val="4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仿宋_GB2312" w:hAnsi="仿宋" w:eastAsia="仿宋_GB2312" w:cs="??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??_GB2312"/>
          <w:color w:val="333333"/>
          <w:sz w:val="32"/>
          <w:szCs w:val="32"/>
          <w:shd w:val="clear" w:color="auto" w:fill="FFFFFF"/>
        </w:rPr>
        <w:t>4、加强财务管理，严格财务审核，经费支出严格按预算规定项目的财务支出内容进行财务核算，在预算金额内严格控制费用的支出。加强政策学习，提高思想认识，组织相关人员认真学习《中华人民共和国预算法</w:t>
      </w:r>
      <w:bookmarkStart w:id="0" w:name="_GoBack"/>
      <w:bookmarkEnd w:id="0"/>
      <w:r>
        <w:rPr>
          <w:rFonts w:hint="eastAsia" w:ascii="仿宋_GB2312" w:hAnsi="仿宋" w:eastAsia="仿宋_GB2312" w:cs="??_GB2312"/>
          <w:color w:val="333333"/>
          <w:sz w:val="32"/>
          <w:szCs w:val="32"/>
          <w:shd w:val="clear" w:color="auto" w:fill="FFFFFF"/>
        </w:rPr>
        <w:t>》等相关法规、制度，提高单位领导对财务管理政策的重视。</w:t>
      </w:r>
    </w:p>
    <w:p>
      <w:pPr>
        <w:pStyle w:val="4"/>
        <w:widowControl/>
        <w:shd w:val="clear" w:color="auto" w:fill="FFFFFF"/>
        <w:spacing w:beforeAutospacing="0" w:afterAutospacing="0" w:line="540" w:lineRule="atLeast"/>
        <w:jc w:val="righ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540" w:lineRule="atLeast"/>
        <w:jc w:val="righ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540" w:lineRule="atLeast"/>
        <w:jc w:val="righ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540" w:lineRule="atLeast"/>
        <w:jc w:val="righ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wordWrap w:val="0"/>
        <w:spacing w:beforeAutospacing="0" w:afterAutospacing="0" w:line="540" w:lineRule="atLeast"/>
        <w:jc w:val="righ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昌黎县机关事务服务中心</w:t>
      </w:r>
    </w:p>
    <w:p>
      <w:pPr>
        <w:pStyle w:val="4"/>
        <w:widowControl/>
        <w:shd w:val="clear" w:color="auto" w:fill="FFFFFF"/>
        <w:wordWrap w:val="0"/>
        <w:spacing w:beforeAutospacing="0" w:afterAutospacing="0" w:line="540" w:lineRule="atLeast"/>
        <w:jc w:val="righ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2022年2月28日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roman"/>
    <w:pitch w:val="default"/>
    <w:sig w:usb0="A00002BF" w:usb1="38CF7CFA" w:usb2="00082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6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052C61"/>
    <w:multiLevelType w:val="singleLevel"/>
    <w:tmpl w:val="CC052C6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BAE6538"/>
    <w:multiLevelType w:val="singleLevel"/>
    <w:tmpl w:val="EBAE653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9957124"/>
    <w:multiLevelType w:val="singleLevel"/>
    <w:tmpl w:val="1995712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C0EB0ED"/>
    <w:multiLevelType w:val="singleLevel"/>
    <w:tmpl w:val="7C0EB0E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12867"/>
    <w:rsid w:val="000D1F55"/>
    <w:rsid w:val="001C06EB"/>
    <w:rsid w:val="00407C03"/>
    <w:rsid w:val="00412867"/>
    <w:rsid w:val="00437979"/>
    <w:rsid w:val="00456F3B"/>
    <w:rsid w:val="00572DE5"/>
    <w:rsid w:val="005A5F68"/>
    <w:rsid w:val="007C06A7"/>
    <w:rsid w:val="00810969"/>
    <w:rsid w:val="009060F5"/>
    <w:rsid w:val="00C4103C"/>
    <w:rsid w:val="00CF224B"/>
    <w:rsid w:val="00D31374"/>
    <w:rsid w:val="00D85B72"/>
    <w:rsid w:val="00D93171"/>
    <w:rsid w:val="00F669A4"/>
    <w:rsid w:val="024D6F9F"/>
    <w:rsid w:val="02C33D26"/>
    <w:rsid w:val="03D0014E"/>
    <w:rsid w:val="05530C4B"/>
    <w:rsid w:val="077A3B4A"/>
    <w:rsid w:val="07B63FBA"/>
    <w:rsid w:val="08986F9A"/>
    <w:rsid w:val="092B2D4F"/>
    <w:rsid w:val="095D751E"/>
    <w:rsid w:val="09977F10"/>
    <w:rsid w:val="09DC2579"/>
    <w:rsid w:val="0B181275"/>
    <w:rsid w:val="0C120B17"/>
    <w:rsid w:val="0D912F05"/>
    <w:rsid w:val="129D0A64"/>
    <w:rsid w:val="12E56B03"/>
    <w:rsid w:val="148B0403"/>
    <w:rsid w:val="14E51E69"/>
    <w:rsid w:val="16F42A6A"/>
    <w:rsid w:val="17CE5752"/>
    <w:rsid w:val="18576D1E"/>
    <w:rsid w:val="19430980"/>
    <w:rsid w:val="1BFD58C2"/>
    <w:rsid w:val="1C2C0501"/>
    <w:rsid w:val="1C6B232F"/>
    <w:rsid w:val="1D360C07"/>
    <w:rsid w:val="1DDF40E3"/>
    <w:rsid w:val="1E5840CD"/>
    <w:rsid w:val="1ED615BE"/>
    <w:rsid w:val="1FBB79AF"/>
    <w:rsid w:val="23B26896"/>
    <w:rsid w:val="27B24DB3"/>
    <w:rsid w:val="283B37BF"/>
    <w:rsid w:val="29D86EF7"/>
    <w:rsid w:val="2C972B32"/>
    <w:rsid w:val="2DDD2768"/>
    <w:rsid w:val="362D31A3"/>
    <w:rsid w:val="36651CD7"/>
    <w:rsid w:val="38B469AC"/>
    <w:rsid w:val="3A6B6CE4"/>
    <w:rsid w:val="3AD777CF"/>
    <w:rsid w:val="3BF57A54"/>
    <w:rsid w:val="3BFF2D48"/>
    <w:rsid w:val="3C662979"/>
    <w:rsid w:val="3D5C2229"/>
    <w:rsid w:val="3D931E77"/>
    <w:rsid w:val="3ED407F8"/>
    <w:rsid w:val="45014FA1"/>
    <w:rsid w:val="46B3316A"/>
    <w:rsid w:val="46E1301B"/>
    <w:rsid w:val="48260DF0"/>
    <w:rsid w:val="482F238F"/>
    <w:rsid w:val="48761D5A"/>
    <w:rsid w:val="49BE416D"/>
    <w:rsid w:val="4D3E199D"/>
    <w:rsid w:val="4D873156"/>
    <w:rsid w:val="4EB42B9F"/>
    <w:rsid w:val="4F222F32"/>
    <w:rsid w:val="50455330"/>
    <w:rsid w:val="508B5328"/>
    <w:rsid w:val="508E71CE"/>
    <w:rsid w:val="5256605C"/>
    <w:rsid w:val="52950EA0"/>
    <w:rsid w:val="52D27021"/>
    <w:rsid w:val="55071F57"/>
    <w:rsid w:val="559B1CF3"/>
    <w:rsid w:val="56076830"/>
    <w:rsid w:val="56CE0D17"/>
    <w:rsid w:val="57563B83"/>
    <w:rsid w:val="57EE1891"/>
    <w:rsid w:val="57FE512F"/>
    <w:rsid w:val="58D10B76"/>
    <w:rsid w:val="59450230"/>
    <w:rsid w:val="594C044D"/>
    <w:rsid w:val="5A89250B"/>
    <w:rsid w:val="5BDE16DC"/>
    <w:rsid w:val="5C042304"/>
    <w:rsid w:val="5D6C40C3"/>
    <w:rsid w:val="5E0E1725"/>
    <w:rsid w:val="60367520"/>
    <w:rsid w:val="61BF59FA"/>
    <w:rsid w:val="636F6FE4"/>
    <w:rsid w:val="63C169AF"/>
    <w:rsid w:val="63CF1E7F"/>
    <w:rsid w:val="64B3787C"/>
    <w:rsid w:val="65F866C9"/>
    <w:rsid w:val="6695612B"/>
    <w:rsid w:val="68D0380E"/>
    <w:rsid w:val="6B8D29F4"/>
    <w:rsid w:val="6CCB6AE5"/>
    <w:rsid w:val="6D5106D2"/>
    <w:rsid w:val="6E0772EA"/>
    <w:rsid w:val="70E7514C"/>
    <w:rsid w:val="713316A3"/>
    <w:rsid w:val="726C5969"/>
    <w:rsid w:val="72C85311"/>
    <w:rsid w:val="73B140FB"/>
    <w:rsid w:val="7512148F"/>
    <w:rsid w:val="77A31B69"/>
    <w:rsid w:val="78F43D98"/>
    <w:rsid w:val="7A927CBE"/>
    <w:rsid w:val="7BD53997"/>
    <w:rsid w:val="7DCF2C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customStyle="1" w:styleId="7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bjh-p"/>
    <w:basedOn w:val="6"/>
    <w:qFormat/>
    <w:uiPriority w:val="0"/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3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3">
    <w:name w:val="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614</Words>
  <Characters>3500</Characters>
  <Lines>29</Lines>
  <Paragraphs>8</Paragraphs>
  <TotalTime>23</TotalTime>
  <ScaleCrop>false</ScaleCrop>
  <LinksUpToDate>false</LinksUpToDate>
  <CharactersWithSpaces>4106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2020-10-26T02:25:00Z</dcterms:created>
  <dc:creator>Administrator</dc:creator>
  <cp:lastModifiedBy>Administrator</cp:lastModifiedBy>
  <cp:lastPrinted>2021-05-20T06:10:00Z</cp:lastPrinted>
  <dcterms:modified xsi:type="dcterms:W3CDTF">2026-03-02T01:58:21Z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B2BF06A3371145AE98AD220BA9A3B210</vt:lpwstr>
  </property>
</Properties>
</file>