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eastAsia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5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昌黎县202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年度住宅用地供应计划表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5"/>
        <w:jc w:val="center"/>
        <w:textAlignment w:val="auto"/>
        <w:rPr>
          <w:rFonts w:hint="eastAsia" w:ascii="仿宋_GB2312" w:hAnsi="Times New Roman" w:eastAsia="仿宋_GB2312" w:cs="Times New Roman"/>
          <w:sz w:val="24"/>
          <w:szCs w:val="20"/>
        </w:rPr>
      </w:pPr>
      <w:r>
        <w:rPr>
          <w:rFonts w:hint="eastAsia" w:ascii="仿宋_GB2312" w:hAnsi="Times New Roman" w:eastAsia="仿宋_GB2312" w:cs="Times New Roman"/>
          <w:sz w:val="24"/>
          <w:szCs w:val="20"/>
        </w:rPr>
        <w:t xml:space="preserve">                                                                                          单位：公顷</w:t>
      </w:r>
    </w:p>
    <w:tbl>
      <w:tblPr>
        <w:tblStyle w:val="3"/>
        <w:tblW w:w="12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56"/>
        <w:gridCol w:w="1519"/>
        <w:gridCol w:w="1238"/>
        <w:gridCol w:w="918"/>
        <w:gridCol w:w="1857"/>
        <w:gridCol w:w="1458"/>
        <w:gridCol w:w="1125"/>
        <w:gridCol w:w="927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总量</w:t>
            </w:r>
          </w:p>
        </w:tc>
        <w:tc>
          <w:tcPr>
            <w:tcW w:w="5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产权住宅用地</w:t>
            </w:r>
          </w:p>
        </w:tc>
        <w:tc>
          <w:tcPr>
            <w:tcW w:w="5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租赁住宅用地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其他住宅用地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商品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住宅用地</w:t>
            </w:r>
          </w:p>
        </w:tc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共有产权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住宅用地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配售型保障性住房</w:t>
            </w:r>
          </w:p>
        </w:tc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小计</w:t>
            </w:r>
          </w:p>
        </w:tc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保障性租赁住宅用地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市场化租赁住宅用地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公共租赁住房</w:t>
            </w: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小计</w:t>
            </w: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4.86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4.86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4.86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640" w:firstLineChars="6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 xml:space="preserve"> 昌黎县2026年度住宅用地供应宗地表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40" w:firstLineChars="600"/>
        <w:jc w:val="both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szCs w:val="20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0"/>
          <w:lang w:val="en-US" w:eastAsia="zh-CN"/>
        </w:rPr>
        <w:t xml:space="preserve">                                                               </w:t>
      </w:r>
      <w:r>
        <w:rPr>
          <w:rFonts w:hint="eastAsia" w:hAnsi="Times New Roman" w:cs="Times New Roman"/>
          <w:sz w:val="24"/>
          <w:szCs w:val="20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sz w:val="24"/>
          <w:szCs w:val="20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24"/>
          <w:szCs w:val="20"/>
        </w:rPr>
        <w:t>单位：公顷</w:t>
      </w:r>
    </w:p>
    <w:tbl>
      <w:tblPr>
        <w:tblStyle w:val="3"/>
        <w:tblW w:w="12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150"/>
        <w:gridCol w:w="1575"/>
        <w:gridCol w:w="2213"/>
        <w:gridCol w:w="1725"/>
        <w:gridCol w:w="2193"/>
        <w:gridCol w:w="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宗地编号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宗地坐落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宗地面积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住宅用地类型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供应方式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计划供地时间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kern w:val="0"/>
                <w:sz w:val="28"/>
                <w:szCs w:val="28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韩愈大街北侧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2.86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普通商品住房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挂牌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2026.06.31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龙翔山语西北侧地块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0.87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-SA"/>
              </w:rPr>
              <w:t>普通商品住房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挂牌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2026.11.10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国际城小区东北角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1.13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-SA"/>
              </w:rPr>
              <w:t>普通商品住房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 w:bidi="ar-SA"/>
              </w:rPr>
              <w:t>挂牌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2026.11.10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07B0"/>
    <w:rsid w:val="4840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2026-03-06T09:28:00Z</dcterms:created>
  <dc:creator>Administrator</dc:creator>
  <cp:lastModifiedBy>Administrator</cp:lastModifiedBy>
  <dcterms:modified xsi:type="dcterms:W3CDTF">2026-03-06T09:29:36Z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27959ED5D4364A519F41BAE8CC2DD97C</vt:lpwstr>
  </property>
</Properties>
</file>