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县级</w:t>
      </w:r>
      <w:r>
        <w:rPr>
          <w:rFonts w:ascii="方正小标宋简体" w:eastAsia="方正小标宋简体" w:cs="方正小标宋简体" w:hint="eastAsia"/>
          <w:sz w:val="44"/>
          <w:szCs w:val="44"/>
        </w:rPr>
        <w:t>社会团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sz w:val="44"/>
          <w:szCs w:val="44"/>
        </w:rPr>
        <w:t>体年检填报流程图</w:t>
      </w:r>
    </w:p>
    <w:p>
      <w:pPr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仿宋_GB2312" w:eastAsia="仿宋_GB2312" w:cs="仿宋_GB2312" w:hint="eastAsia"/>
          <w:sz w:val="28"/>
          <w:szCs w:val="28"/>
        </w:rPr>
        <mc:AlternateContent>
          <mc:Choice Requires="wps">
            <w:drawing>
              <wp:anchor distT="0" distB="0" distL="85723" distR="85723" simplePos="0" relativeHeight="17" behindDoc="0" locked="0" layoutInCell="1" hidden="0" allowOverlap="1">
                <wp:simplePos x="0" y="0"/>
                <wp:positionH relativeFrom="column">
                  <wp:posOffset>355865</wp:posOffset>
                </wp:positionH>
                <wp:positionV relativeFrom="paragraph">
                  <wp:posOffset>574585</wp:posOffset>
                </wp:positionV>
                <wp:extent cx="4494000" cy="256305"/>
                <wp:effectExtent l="-9524" t="-9524" r="-9524" b="-9524"/>
                <wp:wrapNone/>
                <wp:docPr id="1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94000" cy="256305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" o:spid="_x0000_s2" filled="f" stroked="t" style="position:absolute;margin-left:28.020935pt;margin-top:45.242943pt;width:353.85825pt;height:20.181522pt;z-index:17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第一步：登录：</w:t>
      </w:r>
      <w:r>
        <w:rPr>
          <w:rStyle w:val="15"/>
          <w:rFonts w:ascii="仿宋_GB2312" w:eastAsia="仿宋_GB2312" w:cs="仿宋_GB2312" w:hint="eastAsia"/>
          <w:sz w:val="24"/>
          <w:szCs w:val="24"/>
        </w:rPr>
        <w:fldChar w:fldCharType="begin"/>
      </w:r>
      <w:r>
        <w:instrText>HYPERLINK "https://zwfw.mca.gov.cn/"</w:instrText>
      </w:r>
      <w:r>
        <w:rPr>
          <w:rStyle w:val="15"/>
          <w:rFonts w:ascii="仿宋_GB2312" w:eastAsia="仿宋_GB2312" w:cs="仿宋_GB2312" w:hint="eastAsia"/>
          <w:sz w:val="24"/>
          <w:szCs w:val="24"/>
        </w:rPr>
        <w:fldChar w:fldCharType="separate"/>
      </w:r>
      <w:r>
        <w:rPr>
          <w:rStyle w:val="15"/>
          <w:rFonts w:ascii="仿宋_GB2312" w:eastAsia="仿宋_GB2312" w:cs="仿宋_GB2312" w:hint="eastAsia"/>
          <w:sz w:val="24"/>
          <w:szCs w:val="24"/>
        </w:rPr>
        <w:t>https://zwfw.mca.gov.cn/</w:t>
      </w:r>
      <w:r>
        <w:rPr>
          <w:rStyle w:val="15"/>
          <w:rFonts w:ascii="仿宋_GB2312" w:eastAsia="仿宋_GB2312" w:cs="仿宋_GB2312" w:hint="eastAsia"/>
          <w:sz w:val="24"/>
          <w:szCs w:val="24"/>
        </w:rPr>
        <w:fldChar w:fldCharType="end"/>
      </w:r>
    </w:p>
    <w:p>
      <w:pPr>
        <w:jc w:val="center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mc:AlternateContent>
          <mc:Choice Requires="wps">
            <w:drawing>
              <wp:anchor distT="0" distB="0" distL="85723" distR="85723" simplePos="0" relativeHeight="19" behindDoc="0" locked="0" layoutInCell="1" hidden="0" allowOverlap="1">
                <wp:simplePos x="0" y="0"/>
                <wp:positionH relativeFrom="column">
                  <wp:posOffset>365390</wp:posOffset>
                </wp:positionH>
                <wp:positionV relativeFrom="paragraph">
                  <wp:posOffset>331609</wp:posOffset>
                </wp:positionV>
                <wp:extent cx="4511317" cy="524562"/>
                <wp:effectExtent l="-9524" t="-9524" r="-9524" b="-9524"/>
                <wp:wrapNone/>
                <wp:docPr id="3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11317" cy="524562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4" o:spid="_x0000_s4" filled="f" stroked="t" style="position:absolute;margin-left:28.770924pt;margin-top:26.110947pt;width:355.22186pt;height:41.304165pt;z-index:19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第二步：输入账号密码登录，未注册的请按照注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册手册进行注册后登录</w:t>
      </w:r>
    </w:p>
    <w:p>
      <w:pPr>
        <w:jc w:val="center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mc:AlternateContent>
          <mc:Choice Requires="wps">
            <w:drawing>
              <wp:anchor distT="0" distB="0" distL="85723" distR="85723" simplePos="0" relativeHeight="21" behindDoc="0" locked="0" layoutInCell="1" hidden="0" allowOverlap="1">
                <wp:simplePos x="0" y="0"/>
                <wp:positionH relativeFrom="column">
                  <wp:posOffset>382708</wp:posOffset>
                </wp:positionH>
                <wp:positionV relativeFrom="paragraph">
                  <wp:posOffset>335227</wp:posOffset>
                </wp:positionV>
                <wp:extent cx="4502659" cy="325931"/>
                <wp:effectExtent l="-9524" t="-9524" r="-9524" b="-9524"/>
                <wp:wrapNone/>
                <wp:docPr id="5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2659" cy="325931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6" o:spid="_x0000_s6" filled="f" stroked="t" style="position:absolute;margin-left:30.134535pt;margin-top:26.395899pt;width:354.54007pt;height:25.663923pt;z-index:21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第三步：选择“法人服务”栏中“社会团体”</w:t>
      </w:r>
    </w:p>
    <w:p>
      <w:pPr>
        <w:jc w:val="center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23" behindDoc="0" locked="0" layoutInCell="1" hidden="0" allowOverlap="1">
                <wp:simplePos x="0" y="0"/>
                <wp:positionH relativeFrom="column">
                  <wp:posOffset>-35519</wp:posOffset>
                </wp:positionH>
                <wp:positionV relativeFrom="paragraph">
                  <wp:posOffset>303869</wp:posOffset>
                </wp:positionV>
                <wp:extent cx="5204034" cy="741392"/>
                <wp:effectExtent l="-9524" t="-9524" r="-9524" b="-9524"/>
                <wp:wrapNone/>
                <wp:docPr id="7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04034" cy="741392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8" o:spid="_x0000_s8" filled="f" stroked="t" style="position:absolute;margin-left:-2.796779pt;margin-top:23.92676pt;width:409.7665pt;height:58.377323pt;z-index:23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第四步：点击“年检年报”栏目的“在线办理”，进入年检填写。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注：在线填报时请按顺序逐项逐页填写，不得跳项跳页，每填完一</w:t>
      </w:r>
    </w:p>
    <w:p>
      <w:pPr>
        <w:jc w:val="center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4"/>
          <w:szCs w:val="24"/>
        </w:rPr>
        <w:t>项后需点击“保存”，进行下一项，填报完成点击“提交”。</w:t>
      </w:r>
    </w:p>
    <w:p>
      <w:pPr>
        <w:jc w:val="center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mc:AlternateContent>
          <mc:Choice Requires="wps">
            <w:drawing>
              <wp:anchor distT="0" distB="0" distL="85723" distR="85723" simplePos="0" relativeHeight="25" behindDoc="0" locked="0" layoutInCell="1" hidden="0" allowOverlap="1">
                <wp:simplePos x="0" y="0"/>
                <wp:positionH relativeFrom="column">
                  <wp:posOffset>-6944</wp:posOffset>
                </wp:positionH>
                <wp:positionV relativeFrom="paragraph">
                  <wp:posOffset>369848</wp:posOffset>
                </wp:positionV>
                <wp:extent cx="5255987" cy="1420068"/>
                <wp:effectExtent l="-9524" t="-9524" r="-9524" b="-9524"/>
                <wp:wrapNone/>
                <wp:docPr id="9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55987" cy="1420068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0" o:spid="_x0000_s10" filled="f" stroked="t" style="position:absolute;margin-left:-0.54681325pt;margin-top:29.121908pt;width:413.85727pt;height:111.81644pt;z-index:25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第五步：年检列表状态变为“待审查”时，请打印所有带水印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资料（自带水印）三份 ，其中：年检报告首页需“法定代表人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签字、盖章、写日期”，报送至业务主管单位、行业管理部门，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其在年度工作报告“年检审查意见”出具明确初审意见：①合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格、基本合格、不合格、②加盖业务主管单位印章、③经办人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签字；签章后，将年度工作报告书的“首页+盖章页”上传至“补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充材料”。系统截止到 7 月 15 日关闭，关闭后将不能再填报。</w:t>
      </w:r>
    </w:p>
    <w:p>
      <w:pPr>
        <w:jc w:val="center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mc:AlternateContent>
          <mc:Choice Requires="wps">
            <w:drawing>
              <wp:anchor distT="0" distB="0" distL="85723" distR="85723" simplePos="0" relativeHeight="27" behindDoc="0" locked="0" layoutInCell="1" hidden="0" allowOverlap="1">
                <wp:simplePos x="0" y="0"/>
                <wp:positionH relativeFrom="column">
                  <wp:posOffset>-15603</wp:posOffset>
                </wp:positionH>
                <wp:positionV relativeFrom="paragraph">
                  <wp:posOffset>245824</wp:posOffset>
                </wp:positionV>
                <wp:extent cx="5281964" cy="1359456"/>
                <wp:effectExtent l="-9524" t="-9524" r="-9524" b="-9524"/>
                <wp:wrapNone/>
                <wp:docPr id="11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1964" cy="1359456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2" o:spid="_x0000_s12" filled="f" stroked="t" style="position:absolute;margin-left:-1.228619pt;margin-top:19.356241pt;width:415.9027pt;height:107.04379pt;z-index:27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第六步：当年检列表状态为“待办结”时，持①2025年度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工作报告（首页需“法定代表人签字、盖章、写日期”）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②2025年度财务审计报告原件；③社会团体法人登记证书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（副本）到昌黎县民政局208房间加盖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年检印鉴；截止日期至9月30日。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98930B0-CF51-488C-8D59-2014C3922A9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2635</TotalTime>
  <Application>Yozo_Office27021597764231179</Application>
  <Pages>1</Pages>
  <Words>0</Words>
  <Characters>399</Characters>
  <Lines>0</Lines>
  <Paragraphs>27</Paragraphs>
  <CharactersWithSpaces>532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MyPC</cp:lastModifiedBy>
  <cp:revision>1</cp:revision>
  <cp:lastPrinted>2026-04-14T01:03:09Z</cp:lastPrinted>
  <dcterms:created xsi:type="dcterms:W3CDTF">2021-05-08T07:28:00Z</dcterms:created>
  <dcterms:modified xsi:type="dcterms:W3CDTF">2026-04-17T01:42:10Z</dcterms:modified>
</cp:coreProperties>
</file>