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昌黎县应急管理局</w:t>
      </w:r>
    </w:p>
    <w:p>
      <w:pPr>
        <w:keepNext w:val="0"/>
        <w:keepLines w:val="0"/>
        <w:pageBreakBefore w:val="0"/>
        <w:kinsoku/>
        <w:wordWrap/>
        <w:overflowPunct/>
        <w:topLinePunct w:val="0"/>
        <w:autoSpaceDE/>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年度安全生产监督检查计划</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为依法履行</w:t>
      </w:r>
      <w:r>
        <w:rPr>
          <w:rFonts w:hint="eastAsia" w:ascii="仿宋_GB2312" w:hAnsi="仿宋_GB2312" w:eastAsia="仿宋_GB2312" w:cs="仿宋_GB2312"/>
          <w:b w:val="0"/>
          <w:bCs w:val="0"/>
          <w:color w:val="000000"/>
          <w:sz w:val="32"/>
          <w:szCs w:val="32"/>
        </w:rPr>
        <w:t>安全生产监督管理职责，进一步规范监督检查行为，切实提高检查质效，</w:t>
      </w:r>
      <w:r>
        <w:rPr>
          <w:rFonts w:hint="eastAsia" w:ascii="仿宋_GB2312" w:hAnsi="仿宋_GB2312" w:eastAsia="仿宋_GB2312" w:cs="仿宋_GB2312"/>
          <w:kern w:val="0"/>
          <w:sz w:val="32"/>
          <w:szCs w:val="32"/>
        </w:rPr>
        <w:t>根据《中华人民共和国安全生产法》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河北省安全生产条例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color w:val="000000"/>
          <w:sz w:val="32"/>
          <w:szCs w:val="32"/>
        </w:rPr>
        <w:t>《应急管理行政执法人员依法履职管理规定》等相关规定，按照《国务院办公厅关于严格规范涉企行政检查的意</w:t>
      </w:r>
      <w:r>
        <w:rPr>
          <w:rFonts w:hint="eastAsia" w:ascii="仿宋_GB2312" w:hAnsi="仿宋_GB2312" w:eastAsia="仿宋_GB2312" w:cs="仿宋_GB2312"/>
          <w:kern w:val="0"/>
          <w:sz w:val="32"/>
          <w:szCs w:val="32"/>
          <w:lang w:val="en-US" w:eastAsia="zh-CN"/>
        </w:rPr>
        <w:t>见》（国办</w:t>
      </w:r>
      <w:r>
        <w:rPr>
          <w:rFonts w:hint="eastAsia" w:ascii="仿宋_GB2312" w:hAnsi="仿宋_GB2312" w:eastAsia="仿宋_GB2312" w:cs="仿宋_GB2312"/>
          <w:b w:val="0"/>
          <w:bCs w:val="0"/>
          <w:color w:val="000000"/>
          <w:sz w:val="32"/>
          <w:szCs w:val="32"/>
        </w:rPr>
        <w:t>发〔2024〕54号）和</w:t>
      </w:r>
      <w:r>
        <w:rPr>
          <w:rFonts w:hint="eastAsia" w:ascii="仿宋_GB2312" w:hAnsi="仿宋_GB2312" w:eastAsia="仿宋_GB2312" w:cs="仿宋_GB2312"/>
          <w:kern w:val="0"/>
          <w:sz w:val="32"/>
          <w:szCs w:val="32"/>
        </w:rPr>
        <w:t>《安全生产年度监督检查计划编制办</w:t>
      </w:r>
      <w:r>
        <w:rPr>
          <w:rFonts w:hint="eastAsia" w:ascii="仿宋_GB2312" w:hAnsi="仿宋_GB2312" w:eastAsia="仿宋_GB2312" w:cs="仿宋_GB2312"/>
          <w:kern w:val="0"/>
          <w:sz w:val="32"/>
          <w:szCs w:val="32"/>
          <w:lang w:val="en-US" w:eastAsia="zh-CN"/>
        </w:rPr>
        <w:t>法》（安</w:t>
      </w:r>
      <w:r>
        <w:rPr>
          <w:rFonts w:hint="eastAsia" w:ascii="仿宋_GB2312" w:hAnsi="仿宋_GB2312" w:eastAsia="仿宋_GB2312" w:cs="仿宋_GB2312"/>
          <w:kern w:val="0"/>
          <w:sz w:val="32"/>
          <w:szCs w:val="32"/>
        </w:rPr>
        <w:t>监总政法〔2017〕150号）</w:t>
      </w:r>
      <w:r>
        <w:rPr>
          <w:rFonts w:hint="eastAsia" w:ascii="仿宋_GB2312" w:hAnsi="仿宋_GB2312" w:eastAsia="仿宋_GB2312" w:cs="仿宋_GB2312"/>
          <w:kern w:val="0"/>
          <w:sz w:val="32"/>
          <w:szCs w:val="32"/>
          <w:lang w:val="en-US" w:eastAsia="zh-CN"/>
        </w:rPr>
        <w:t>等要求，</w:t>
      </w:r>
      <w:r>
        <w:rPr>
          <w:rFonts w:hint="eastAsia" w:ascii="仿宋_GB2312" w:hAnsi="仿宋_GB2312" w:eastAsia="仿宋_GB2312" w:cs="仿宋_GB2312"/>
          <w:kern w:val="0"/>
          <w:sz w:val="32"/>
          <w:szCs w:val="32"/>
        </w:rPr>
        <w:t>结合我县实际，制定</w:t>
      </w:r>
      <w:r>
        <w:rPr>
          <w:rFonts w:hint="eastAsia" w:ascii="仿宋_GB2312" w:hAnsi="仿宋_GB2312" w:eastAsia="仿宋_GB2312" w:cs="仿宋_GB2312"/>
          <w:spacing w:val="-4"/>
          <w:sz w:val="32"/>
          <w:szCs w:val="32"/>
          <w:lang w:val="en-US" w:eastAsia="zh-CN"/>
        </w:rPr>
        <w:t>本</w:t>
      </w:r>
      <w:r>
        <w:rPr>
          <w:rFonts w:hint="eastAsia" w:ascii="仿宋_GB2312" w:hAnsi="仿宋_GB2312" w:eastAsia="仿宋_GB2312" w:cs="仿宋_GB2312"/>
          <w:spacing w:val="-4"/>
          <w:sz w:val="32"/>
          <w:szCs w:val="32"/>
        </w:rPr>
        <w:t>计划。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一、工作目标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以习近平新时代中国特色社会主义思想为指导，全面贯彻落实习近平总书记关于应急管理的重要论述和重要指示批示精神，坚决执行</w:t>
      </w:r>
      <w:r>
        <w:rPr>
          <w:rFonts w:hint="eastAsia" w:cs="仿宋_GB2312"/>
          <w:bCs/>
          <w:kern w:val="0"/>
          <w:sz w:val="32"/>
          <w:szCs w:val="32"/>
          <w:lang w:val="en-US" w:eastAsia="zh-CN"/>
        </w:rPr>
        <w:t>县委、县政府</w:t>
      </w:r>
      <w:r>
        <w:rPr>
          <w:rFonts w:hint="eastAsia" w:ascii="仿宋_GB2312" w:hAnsi="仿宋_GB2312" w:eastAsia="仿宋_GB2312" w:cs="仿宋_GB2312"/>
          <w:bCs/>
          <w:kern w:val="0"/>
          <w:sz w:val="32"/>
          <w:szCs w:val="32"/>
        </w:rPr>
        <w:t>和</w:t>
      </w:r>
      <w:r>
        <w:rPr>
          <w:rFonts w:hint="eastAsia" w:cs="仿宋_GB2312"/>
          <w:bCs/>
          <w:kern w:val="0"/>
          <w:sz w:val="32"/>
          <w:szCs w:val="32"/>
          <w:lang w:val="en-US" w:eastAsia="zh-CN"/>
        </w:rPr>
        <w:t>市</w:t>
      </w:r>
      <w:r>
        <w:rPr>
          <w:rFonts w:hint="eastAsia" w:ascii="仿宋_GB2312" w:hAnsi="仿宋_GB2312" w:eastAsia="仿宋_GB2312" w:cs="仿宋_GB2312"/>
          <w:bCs/>
          <w:kern w:val="0"/>
          <w:sz w:val="32"/>
          <w:szCs w:val="32"/>
        </w:rPr>
        <w:t>应急管理</w:t>
      </w:r>
      <w:r>
        <w:rPr>
          <w:rFonts w:hint="eastAsia" w:cs="仿宋_GB2312"/>
          <w:bCs/>
          <w:kern w:val="0"/>
          <w:sz w:val="32"/>
          <w:szCs w:val="32"/>
          <w:lang w:val="en-US" w:eastAsia="zh-CN"/>
        </w:rPr>
        <w:t>局</w:t>
      </w:r>
      <w:r>
        <w:rPr>
          <w:rFonts w:hint="eastAsia" w:ascii="仿宋_GB2312" w:hAnsi="仿宋_GB2312" w:eastAsia="仿宋_GB2312" w:cs="仿宋_GB2312"/>
          <w:bCs/>
          <w:kern w:val="0"/>
          <w:sz w:val="32"/>
          <w:szCs w:val="32"/>
        </w:rPr>
        <w:t>各项决策部署。坚持严格规范涉企行政检查，牢固树立风险意识、强化问题导向、运用系统思维，扎实推进安全生产治本攻坚三年行动，深化安全生产领域突出问题专项整治和常态化隐患排查治理，聚焦高风险企业、关键环节、易引发群死群伤事故的经营单位及常见多发的违法违规行为，依托“互联网+执法”等信息化手段，持续提升执法精准度与效能</w:t>
      </w:r>
      <w:r>
        <w:rPr>
          <w:rFonts w:hint="eastAsia" w:cs="仿宋_GB2312"/>
          <w:bCs/>
          <w:kern w:val="0"/>
          <w:sz w:val="32"/>
          <w:szCs w:val="32"/>
          <w:lang w:eastAsia="zh-CN"/>
        </w:rPr>
        <w:t>，</w:t>
      </w:r>
      <w:r>
        <w:rPr>
          <w:rFonts w:hint="eastAsia" w:ascii="仿宋_GB2312" w:hAnsi="仿宋_GB2312" w:eastAsia="仿宋_GB2312" w:cs="仿宋_GB2312"/>
          <w:bCs/>
          <w:kern w:val="0"/>
          <w:sz w:val="32"/>
          <w:szCs w:val="32"/>
        </w:rPr>
        <w:t>合理设定2026年度</w:t>
      </w:r>
      <w:r>
        <w:rPr>
          <w:rFonts w:hint="eastAsia" w:ascii="仿宋_GB2312" w:hAnsi="仿宋_GB2312" w:eastAsia="仿宋_GB2312" w:cs="仿宋_GB2312"/>
          <w:bCs/>
          <w:kern w:val="0"/>
          <w:sz w:val="32"/>
          <w:szCs w:val="32"/>
          <w:lang w:val="en-US" w:eastAsia="zh-CN"/>
        </w:rPr>
        <w:t>县</w:t>
      </w:r>
      <w:r>
        <w:rPr>
          <w:rFonts w:hint="eastAsia" w:ascii="仿宋_GB2312" w:hAnsi="仿宋_GB2312" w:eastAsia="仿宋_GB2312" w:cs="仿宋_GB2312"/>
          <w:bCs/>
          <w:kern w:val="0"/>
          <w:sz w:val="32"/>
          <w:szCs w:val="32"/>
        </w:rPr>
        <w:t>级安全生产监督检查的范围与频次，确保实现监督检查计划企业覆盖率、监督检查复查率、典型案例报送合格率、“互联网+执法”系统使用率“四个100%”目标。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二、工作任务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通过编制并实施本计划，指导</w:t>
      </w:r>
      <w:r>
        <w:rPr>
          <w:rFonts w:hint="eastAsia" w:ascii="仿宋_GB2312" w:hAnsi="仿宋_GB2312" w:eastAsia="仿宋_GB2312" w:cs="仿宋_GB2312"/>
          <w:b w:val="0"/>
          <w:bCs w:val="0"/>
          <w:color w:val="000000"/>
          <w:sz w:val="32"/>
          <w:szCs w:val="32"/>
          <w:lang w:val="en-US" w:eastAsia="zh-CN"/>
        </w:rPr>
        <w:t>县</w:t>
      </w:r>
      <w:r>
        <w:rPr>
          <w:rFonts w:hint="eastAsia" w:ascii="仿宋_GB2312" w:hAnsi="仿宋_GB2312" w:eastAsia="仿宋_GB2312" w:cs="仿宋_GB2312"/>
          <w:b w:val="0"/>
          <w:bCs w:val="0"/>
          <w:color w:val="000000"/>
          <w:sz w:val="32"/>
          <w:szCs w:val="32"/>
        </w:rPr>
        <w:t>应急管理</w:t>
      </w:r>
      <w:r>
        <w:rPr>
          <w:rFonts w:hint="eastAsia" w:ascii="仿宋_GB2312" w:hAnsi="仿宋_GB2312" w:eastAsia="仿宋_GB2312" w:cs="仿宋_GB2312"/>
          <w:b w:val="0"/>
          <w:bCs w:val="0"/>
          <w:color w:val="000000"/>
          <w:sz w:val="32"/>
          <w:szCs w:val="32"/>
          <w:lang w:val="en-US" w:eastAsia="zh-CN"/>
        </w:rPr>
        <w:t>局</w:t>
      </w:r>
      <w:r>
        <w:rPr>
          <w:rFonts w:hint="eastAsia" w:ascii="仿宋_GB2312" w:hAnsi="仿宋_GB2312" w:eastAsia="仿宋_GB2312" w:cs="仿宋_GB2312"/>
          <w:b w:val="0"/>
          <w:bCs w:val="0"/>
          <w:color w:val="000000"/>
          <w:sz w:val="32"/>
          <w:szCs w:val="32"/>
        </w:rPr>
        <w:t>相关内设机构依法履职，聚焦非煤矿山、危险化学品、烟花爆竹、金属冶炼、涉爆粉尘等重点行业领域的高风险生产经营单位，对其安全生产法律法规及标准规范的执行情况开展常态化监督检查。坚持日常检 查与岁末年初“百日攻坚”行动</w:t>
      </w:r>
      <w:r>
        <w:rPr>
          <w:rFonts w:hint="eastAsia" w:ascii="宋体" w:hAnsi="宋体" w:eastAsia="宋体" w:cs="宋体"/>
          <w:b w:val="0"/>
          <w:bCs w:val="0"/>
          <w:color w:val="000000"/>
          <w:sz w:val="28"/>
          <w:szCs w:val="28"/>
          <w:lang w:eastAsia="zh-CN"/>
        </w:rPr>
        <w:t>、</w:t>
      </w:r>
      <w:r>
        <w:rPr>
          <w:rFonts w:hint="eastAsia" w:ascii="仿宋_GB2312" w:hAnsi="仿宋_GB2312" w:eastAsia="仿宋_GB2312" w:cs="仿宋_GB2312"/>
          <w:b w:val="0"/>
          <w:bCs w:val="0"/>
          <w:color w:val="000000"/>
          <w:sz w:val="32"/>
          <w:szCs w:val="32"/>
        </w:rPr>
        <w:t>重点时段明查暗访、专项检查相结合，依法严厉打击安全生产非法违法行为。充分运用“互联网+执法”系统及“双随机、一公开”机制，突出对企业主要负责人履职情况的监督，推动生产经营单位全面落实安全生产主体责任，常态化开展隐患自查自改，有效防范和遏制各类生产安全事故，促进全</w:t>
      </w:r>
      <w:r>
        <w:rPr>
          <w:rFonts w:hint="eastAsia" w:ascii="仿宋_GB2312" w:hAnsi="仿宋_GB2312" w:eastAsia="仿宋_GB2312" w:cs="仿宋_GB2312"/>
          <w:b w:val="0"/>
          <w:bCs w:val="0"/>
          <w:color w:val="000000"/>
          <w:sz w:val="32"/>
          <w:szCs w:val="32"/>
          <w:lang w:val="en-US" w:eastAsia="zh-CN"/>
        </w:rPr>
        <w:t>县</w:t>
      </w:r>
      <w:r>
        <w:rPr>
          <w:rFonts w:hint="eastAsia" w:ascii="仿宋_GB2312" w:hAnsi="仿宋_GB2312" w:eastAsia="仿宋_GB2312" w:cs="仿宋_GB2312"/>
          <w:b w:val="0"/>
          <w:bCs w:val="0"/>
          <w:color w:val="000000"/>
          <w:sz w:val="32"/>
          <w:szCs w:val="32"/>
        </w:rPr>
        <w:t>安全生产形势持续稳定向好。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rPr>
        <w:t>三、</w:t>
      </w:r>
      <w:r>
        <w:rPr>
          <w:rFonts w:hint="eastAsia" w:ascii="黑体" w:hAnsi="黑体" w:eastAsia="黑体" w:cs="黑体"/>
          <w:kern w:val="0"/>
          <w:sz w:val="32"/>
          <w:szCs w:val="32"/>
          <w:lang w:val="en-US" w:eastAsia="zh-CN"/>
        </w:rPr>
        <w:t>执法检查安排</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Cs/>
          <w:kern w:val="0"/>
          <w:sz w:val="32"/>
          <w:szCs w:val="32"/>
        </w:rPr>
        <w:t>（一）</w:t>
      </w:r>
      <w:r>
        <w:rPr>
          <w:rFonts w:hint="eastAsia" w:ascii="楷体_GB2312" w:hAnsi="楷体_GB2312" w:eastAsia="楷体_GB2312" w:cs="楷体_GB2312"/>
          <w:bCs/>
          <w:kern w:val="0"/>
          <w:sz w:val="32"/>
          <w:szCs w:val="32"/>
          <w:lang w:val="en-US" w:eastAsia="zh-CN"/>
        </w:rPr>
        <w:t>执法检查范围。根</w:t>
      </w:r>
      <w:r>
        <w:rPr>
          <w:rFonts w:hint="eastAsia" w:ascii="仿宋_GB2312" w:hAnsi="仿宋_GB2312" w:eastAsia="仿宋_GB2312" w:cs="仿宋_GB2312"/>
          <w:b w:val="0"/>
          <w:bCs w:val="0"/>
          <w:color w:val="000000"/>
          <w:kern w:val="2"/>
          <w:sz w:val="32"/>
          <w:szCs w:val="32"/>
          <w:lang w:val="en-US" w:eastAsia="zh-CN" w:bidi="ar-SA"/>
        </w:rPr>
        <w:t>据年度重点工作任务安排和执法检查工作日测算（见附件1），确定执法检查企业146家。其中，重点检查企业118家，占执法检查企业数量的80.8%；一般检查企业28家，占执法检查企业数量的19.2%。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2"/>
          <w:sz w:val="32"/>
          <w:szCs w:val="32"/>
          <w:lang w:val="en-US" w:eastAsia="zh-CN" w:bidi="ar-SA"/>
        </w:rPr>
        <w:t>1.重点检查安排。</w:t>
      </w:r>
      <w:r>
        <w:rPr>
          <w:rFonts w:hint="eastAsia" w:ascii="仿宋_GB2312" w:hAnsi="仿宋_GB2312" w:eastAsia="仿宋_GB2312" w:cs="仿宋_GB2312"/>
          <w:bCs/>
          <w:kern w:val="0"/>
          <w:sz w:val="32"/>
          <w:szCs w:val="32"/>
        </w:rPr>
        <w:t>全年重点检查生产经营单位</w:t>
      </w:r>
      <w:r>
        <w:rPr>
          <w:rFonts w:hint="eastAsia" w:ascii="仿宋_GB2312" w:hAnsi="仿宋_GB2312" w:eastAsia="仿宋_GB2312" w:cs="仿宋_GB2312"/>
          <w:bCs/>
          <w:kern w:val="0"/>
          <w:sz w:val="32"/>
          <w:szCs w:val="32"/>
          <w:lang w:val="en-US" w:eastAsia="zh-CN"/>
        </w:rPr>
        <w:t>11</w:t>
      </w:r>
      <w:r>
        <w:rPr>
          <w:rFonts w:hint="eastAsia" w:cs="仿宋_GB2312"/>
          <w:bCs/>
          <w:kern w:val="0"/>
          <w:sz w:val="32"/>
          <w:szCs w:val="32"/>
          <w:lang w:val="en-US" w:eastAsia="zh-CN"/>
        </w:rPr>
        <w:t>8</w:t>
      </w:r>
      <w:r>
        <w:rPr>
          <w:rFonts w:hint="eastAsia" w:ascii="仿宋_GB2312" w:hAnsi="仿宋_GB2312" w:eastAsia="仿宋_GB2312" w:cs="仿宋_GB2312"/>
          <w:bCs/>
          <w:kern w:val="0"/>
          <w:sz w:val="32"/>
          <w:szCs w:val="32"/>
        </w:rPr>
        <w:t>家处，其中危险化学品企业</w:t>
      </w:r>
      <w:r>
        <w:rPr>
          <w:rFonts w:hint="eastAsia" w:ascii="仿宋_GB2312" w:hAnsi="仿宋_GB2312" w:eastAsia="仿宋_GB2312" w:cs="仿宋_GB2312"/>
          <w:bCs/>
          <w:kern w:val="0"/>
          <w:sz w:val="32"/>
          <w:szCs w:val="32"/>
          <w:lang w:val="en-US" w:eastAsia="zh-CN"/>
        </w:rPr>
        <w:t>6</w:t>
      </w:r>
      <w:r>
        <w:rPr>
          <w:rFonts w:hint="eastAsia" w:cs="仿宋_GB2312"/>
          <w:bCs/>
          <w:kern w:val="0"/>
          <w:sz w:val="32"/>
          <w:szCs w:val="32"/>
          <w:lang w:val="en-US" w:eastAsia="zh-CN"/>
        </w:rPr>
        <w:t>3</w:t>
      </w:r>
      <w:r>
        <w:rPr>
          <w:rFonts w:hint="eastAsia" w:ascii="仿宋_GB2312" w:hAnsi="仿宋_GB2312" w:eastAsia="仿宋_GB2312" w:cs="仿宋_GB2312"/>
          <w:bCs/>
          <w:kern w:val="0"/>
          <w:sz w:val="32"/>
          <w:szCs w:val="32"/>
        </w:rPr>
        <w:t>家处、冶金等工贸企业</w:t>
      </w:r>
      <w:r>
        <w:rPr>
          <w:rFonts w:hint="eastAsia" w:ascii="仿宋_GB2312" w:hAnsi="仿宋_GB2312" w:eastAsia="仿宋_GB2312" w:cs="仿宋_GB2312"/>
          <w:bCs/>
          <w:kern w:val="0"/>
          <w:sz w:val="32"/>
          <w:szCs w:val="32"/>
          <w:lang w:val="en-US" w:eastAsia="zh-CN"/>
        </w:rPr>
        <w:t>5</w:t>
      </w:r>
      <w:r>
        <w:rPr>
          <w:rFonts w:hint="eastAsia" w:cs="仿宋_GB2312"/>
          <w:bCs/>
          <w:kern w:val="0"/>
          <w:sz w:val="32"/>
          <w:szCs w:val="32"/>
          <w:lang w:val="en-US" w:eastAsia="zh-CN"/>
        </w:rPr>
        <w:t>5</w:t>
      </w:r>
      <w:r>
        <w:rPr>
          <w:rFonts w:hint="eastAsia" w:ascii="仿宋_GB2312" w:hAnsi="仿宋_GB2312" w:eastAsia="仿宋_GB2312" w:cs="仿宋_GB2312"/>
          <w:bCs/>
          <w:kern w:val="0"/>
          <w:sz w:val="32"/>
          <w:szCs w:val="32"/>
        </w:rPr>
        <w:t>家处。</w:t>
      </w:r>
      <w:r>
        <w:rPr>
          <w:rFonts w:hint="eastAsia" w:ascii="仿宋_GB2312" w:hAnsi="仿宋_GB2312" w:eastAsia="仿宋_GB2312" w:cs="仿宋_GB2312"/>
          <w:sz w:val="32"/>
          <w:szCs w:val="32"/>
        </w:rPr>
        <w:t>根据《关于印发河北省应急管理系统安全生产分类分级执法暂行办法的通知》（冀应急〔2021〕8号）</w:t>
      </w:r>
      <w:r>
        <w:rPr>
          <w:rFonts w:hint="eastAsia" w:ascii="仿宋_GB2312" w:hAnsi="仿宋_GB2312" w:eastAsia="仿宋_GB2312" w:cs="仿宋_GB2312"/>
          <w:bCs/>
          <w:kern w:val="0"/>
          <w:sz w:val="32"/>
          <w:szCs w:val="32"/>
        </w:rPr>
        <w:t>《秦皇岛市应急管理局关于明确各类加油站安全生产监管权限的通知》相关规定，列入省应急管理厅或市应急管理局202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年监督检查计划内的企业，本辖区内中石油、中石化、中海油省建投等中省属企业全资或控股加油站（含高速服务区加油站）</w:t>
      </w:r>
      <w:r>
        <w:rPr>
          <w:rFonts w:hint="eastAsia" w:ascii="仿宋_GB2312" w:hAnsi="仿宋_GB2312" w:eastAsia="仿宋_GB2312" w:cs="仿宋_GB2312"/>
          <w:sz w:val="32"/>
          <w:szCs w:val="32"/>
        </w:rPr>
        <w:t>不再列入本级安全监管执法重点检查企业名单内，不再另行执法检查。（企业名单见附件</w:t>
      </w:r>
      <w:r>
        <w:rPr>
          <w:rFonts w:hint="eastAsia" w:cs="仿宋_GB2312"/>
          <w:sz w:val="32"/>
          <w:szCs w:val="32"/>
          <w:lang w:val="en-US" w:eastAsia="zh-CN"/>
        </w:rPr>
        <w:t>3</w:t>
      </w:r>
      <w:r>
        <w:rPr>
          <w:rFonts w:hint="eastAsia" w:ascii="仿宋_GB2312" w:hAnsi="仿宋_GB2312" w:eastAsia="仿宋_GB2312" w:cs="仿宋_GB2312"/>
          <w:sz w:val="32"/>
          <w:szCs w:val="32"/>
        </w:rPr>
        <w:t>）</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对重点检查单位的检查频次如下:</w:t>
      </w:r>
      <w:r>
        <w:rPr>
          <w:rFonts w:hint="eastAsia" w:ascii="仿宋_GB2312" w:hAnsi="仿宋_GB2312" w:eastAsia="仿宋_GB2312" w:cs="仿宋_GB2312"/>
          <w:sz w:val="32"/>
          <w:szCs w:val="32"/>
        </w:rPr>
        <w:t>以上生产经营单位年内至少进行一次重点检查。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bidi="ar-SA"/>
        </w:rPr>
        <w:t>检查时间安排：</w:t>
      </w:r>
      <w:r>
        <w:rPr>
          <w:rFonts w:hint="eastAsia" w:ascii="仿宋_GB2312" w:hAnsi="仿宋_GB2312" w:eastAsia="仿宋_GB2312" w:cs="仿宋_GB2312"/>
          <w:sz w:val="32"/>
          <w:szCs w:val="32"/>
        </w:rPr>
        <w:t>监督检查的时间按照每季度工作日和重点时段进行合理分配，具体检查时间由各科室自行安排。（详见附件</w:t>
      </w:r>
      <w:r>
        <w:rPr>
          <w:rFonts w:hint="eastAsia" w:cs="仿宋_GB2312"/>
          <w:sz w:val="32"/>
          <w:szCs w:val="32"/>
          <w:lang w:val="en-US" w:eastAsia="zh-CN"/>
        </w:rPr>
        <w:t>4和5</w:t>
      </w:r>
      <w:r>
        <w:rPr>
          <w:rFonts w:hint="eastAsia" w:ascii="仿宋_GB2312" w:hAnsi="仿宋_GB2312" w:eastAsia="仿宋_GB2312" w:cs="仿宋_GB2312"/>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2.一般检查安排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全年计划监督检查一般生产经营单位</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家，执法一中队</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家，执法二中队4家，执法三中队</w:t>
      </w: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生产经营单位由各中队按照“双随机”规定进行随机抽取，不列具体名单。非特殊需要，随机抽查的单位年度内只进行一次监督检查。具体监督检查时间由各中队参照重点检查单位按季度计划进行。（详见附件</w:t>
      </w:r>
      <w:r>
        <w:rPr>
          <w:rFonts w:hint="eastAsia" w:cs="仿宋_GB2312"/>
          <w:sz w:val="32"/>
          <w:szCs w:val="32"/>
          <w:lang w:val="en-US" w:eastAsia="zh-CN"/>
        </w:rPr>
        <w:t>4和5</w:t>
      </w:r>
      <w:r>
        <w:rPr>
          <w:rFonts w:hint="eastAsia" w:ascii="仿宋_GB2312" w:hAnsi="仿宋_GB2312" w:eastAsia="仿宋_GB2312" w:cs="仿宋_GB2312"/>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3.专项检查安排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kern w:val="0"/>
          <w:sz w:val="32"/>
          <w:szCs w:val="32"/>
        </w:rPr>
        <w:t>按照国家、省、市、县相关文件要求，结合实际情况开展专项检查活动，不列具体名单。</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二</w:t>
      </w: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执法检查内容。</w:t>
      </w:r>
      <w:r>
        <w:rPr>
          <w:rFonts w:hint="eastAsia" w:ascii="仿宋_GB2312" w:hAnsi="仿宋_GB2312" w:eastAsia="仿宋_GB2312" w:cs="仿宋_GB2312"/>
          <w:b w:val="0"/>
          <w:bCs w:val="0"/>
          <w:color w:val="000000"/>
          <w:kern w:val="2"/>
          <w:sz w:val="32"/>
          <w:szCs w:val="32"/>
          <w:lang w:val="en-US" w:eastAsia="zh-CN" w:bidi="ar-SA"/>
        </w:rPr>
        <w:t>专项执法检查内容见各行业重点监督检查内容，共性内容主要包括以下11个方面：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1.主要负责人履职尽责情况。</w:t>
      </w:r>
      <w:r>
        <w:rPr>
          <w:rFonts w:hint="eastAsia" w:ascii="仿宋_GB2312" w:hAnsi="仿宋_GB2312" w:eastAsia="仿宋_GB2312" w:cs="仿宋_GB2312"/>
          <w:b w:val="0"/>
          <w:bCs w:val="0"/>
          <w:color w:val="000000"/>
          <w:sz w:val="32"/>
          <w:szCs w:val="32"/>
        </w:rPr>
        <w:t>企业主要负责人（实际控制人）依据《中华人民共和国安全生产法》的规定履行法定职责情况，重点是建立并落实全员安全生产责任制情况，安全生产管理制度建设情况，组织开展常态化隐患排查治理情况，实施风险辨识和管控检查情况。加强对主要负责人（实际控制人）现场考核，重点考核履职、安全管理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kern w:val="2"/>
          <w:sz w:val="32"/>
          <w:szCs w:val="32"/>
          <w:lang w:val="en-US" w:eastAsia="zh-CN" w:bidi="ar-SA"/>
        </w:rPr>
        <w:t>2.双重预防机制建设情况。</w:t>
      </w:r>
      <w:r>
        <w:rPr>
          <w:rFonts w:hint="eastAsia" w:ascii="仿宋_GB2312" w:hAnsi="仿宋_GB2312" w:eastAsia="仿宋_GB2312" w:cs="仿宋_GB2312"/>
          <w:b w:val="0"/>
          <w:bCs w:val="0"/>
          <w:color w:val="000000"/>
          <w:sz w:val="32"/>
          <w:szCs w:val="32"/>
        </w:rPr>
        <w:t>企业安全生产风险管控和隐患排查治理双重预防机制制度建设情况，采用技术、管理措施控制风险和开展隐患排查治理情况；按照重大事故隐患判定标准，排查整治本单位重大事故隐患情况，对重大事故隐患治理措施组织开展评估等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3.安全设施“三同时”落实情况。</w:t>
      </w:r>
      <w:r>
        <w:rPr>
          <w:rFonts w:hint="eastAsia" w:ascii="仿宋_GB2312" w:hAnsi="仿宋_GB2312" w:eastAsia="仿宋_GB2312" w:cs="仿宋_GB2312"/>
          <w:b w:val="0"/>
          <w:bCs w:val="0"/>
          <w:color w:val="000000"/>
          <w:sz w:val="32"/>
          <w:szCs w:val="32"/>
        </w:rPr>
        <w:t>落实建设项目安全设施“三同时”管理规定情况，安全设备的安装、使用、检测、维修、改造和报废符合安全技术标准情况，使用列入淘汰落后技术装备目录的工艺、设备情况。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4.安全生产教育培训落实情况。</w:t>
      </w:r>
      <w:r>
        <w:rPr>
          <w:rFonts w:hint="eastAsia" w:ascii="仿宋_GB2312" w:hAnsi="仿宋_GB2312" w:eastAsia="仿宋_GB2312" w:cs="仿宋_GB2312"/>
          <w:b w:val="0"/>
          <w:bCs w:val="0"/>
          <w:color w:val="000000"/>
          <w:sz w:val="32"/>
          <w:szCs w:val="32"/>
        </w:rPr>
        <w:t>企业建立全员安全生产教育培训制度情况，对包括被派遣劳动者、实习生在内的所有从业人员进行安全生产教育和培训开展情况；矿山、危险化学品、金属冶炼企业主要负责人和安全生产管理人员、特种作业人员等“三类人员”考核及持证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5.现场作业安全管理落实情况。</w:t>
      </w:r>
      <w:r>
        <w:rPr>
          <w:rFonts w:hint="eastAsia" w:ascii="仿宋_GB2312" w:hAnsi="仿宋_GB2312" w:eastAsia="仿宋_GB2312" w:cs="仿宋_GB2312"/>
          <w:b w:val="0"/>
          <w:bCs w:val="0"/>
          <w:color w:val="000000"/>
          <w:sz w:val="32"/>
          <w:szCs w:val="32"/>
        </w:rPr>
        <w:t>企业现场作业管理情况，从事危险化学品特殊作业、涉爆粉尘、有限空间、爆破、吊装及国家有关规定明确的危险作业时，安排专门人员进行现场安全管理情况；违章指挥、强令职工冒险作业情况。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kern w:val="2"/>
          <w:sz w:val="32"/>
          <w:szCs w:val="32"/>
          <w:lang w:val="en-US" w:eastAsia="zh-CN" w:bidi="ar-SA"/>
        </w:rPr>
        <w:t>6.应急管理建设落实情况。</w:t>
      </w:r>
      <w:r>
        <w:rPr>
          <w:rFonts w:hint="eastAsia" w:ascii="仿宋_GB2312" w:hAnsi="仿宋_GB2312" w:eastAsia="仿宋_GB2312" w:cs="仿宋_GB2312"/>
          <w:b w:val="0"/>
          <w:bCs w:val="0"/>
          <w:color w:val="000000"/>
          <w:sz w:val="32"/>
          <w:szCs w:val="32"/>
        </w:rPr>
        <w:t>企业按规定建立安全生产应急管理体系和应急救援组织情况，应急预案制定和组织应急预案培训演练情况。应急物资、装备配备情况以及进行经常性维护、保养情况；重大危险源</w:t>
      </w:r>
      <w:r>
        <w:rPr>
          <w:rFonts w:hint="eastAsia" w:ascii="仿宋_GB2312" w:hAnsi="仿宋_GB2312" w:eastAsia="仿宋_GB2312" w:cs="仿宋_GB2312"/>
          <w:b w:val="0"/>
          <w:bCs w:val="0"/>
          <w:color w:val="000000"/>
          <w:sz w:val="32"/>
          <w:szCs w:val="32"/>
          <w:lang w:val="en-US" w:eastAsia="zh-CN"/>
        </w:rPr>
        <w:t>的</w:t>
      </w:r>
      <w:r>
        <w:rPr>
          <w:rFonts w:hint="eastAsia" w:ascii="仿宋_GB2312" w:hAnsi="仿宋_GB2312" w:eastAsia="仿宋_GB2312" w:cs="仿宋_GB2312"/>
          <w:b w:val="0"/>
          <w:bCs w:val="0"/>
          <w:color w:val="000000"/>
          <w:sz w:val="32"/>
          <w:szCs w:val="32"/>
        </w:rPr>
        <w:t>辨识、登记建档，定期检测、评估、监控等情况。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7.取得安全生产许可后保持安全生产条件情况。</w:t>
      </w:r>
      <w:r>
        <w:rPr>
          <w:rFonts w:hint="eastAsia" w:ascii="仿宋_GB2312" w:hAnsi="仿宋_GB2312" w:eastAsia="仿宋_GB2312" w:cs="仿宋_GB2312"/>
          <w:b w:val="0"/>
          <w:bCs w:val="0"/>
          <w:color w:val="000000"/>
          <w:sz w:val="32"/>
          <w:szCs w:val="32"/>
        </w:rPr>
        <w:t>企业获得安全生产许可情况，严格依照有关安全生产行政许可的范围、事项从事相关的生产经营活动情况，企业在取得行政许可后降低安全生产条件情况；转让、冒用或者使用伪造的安全生产许可情况。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8.安全生产安全费用落实情况。</w:t>
      </w:r>
      <w:r>
        <w:rPr>
          <w:rFonts w:hint="eastAsia" w:ascii="仿宋_GB2312" w:hAnsi="仿宋_GB2312" w:eastAsia="仿宋_GB2312" w:cs="仿宋_GB2312"/>
          <w:b w:val="0"/>
          <w:bCs w:val="0"/>
          <w:color w:val="000000"/>
          <w:sz w:val="32"/>
          <w:szCs w:val="32"/>
        </w:rPr>
        <w:t>安全生产费用提取和使用情况，企业依法参加工伤保险，为从业人员及时足额缴纳工伤保险费情况；投保安全生产责任保险情况。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9.安全技术服务情况。</w:t>
      </w:r>
      <w:r>
        <w:rPr>
          <w:rFonts w:hint="eastAsia" w:ascii="仿宋_GB2312" w:hAnsi="仿宋_GB2312" w:eastAsia="仿宋_GB2312" w:cs="仿宋_GB2312"/>
          <w:b w:val="0"/>
          <w:bCs w:val="0"/>
          <w:color w:val="000000"/>
          <w:sz w:val="32"/>
          <w:szCs w:val="32"/>
        </w:rPr>
        <w:t>从事安全技术服务的服务机构开展安全评价、安全论证、安全生产标准化、双重预防机制等各项安全技术服务情况，服务事项与企业安全实际相对应情况，制定的安全风险管控措施可行性情况，安全防范措施与安全风险相对应情况。</w:t>
      </w:r>
    </w:p>
    <w:p>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10.安全生产强制性标准实施情况。</w:t>
      </w:r>
      <w:r>
        <w:rPr>
          <w:rFonts w:hint="eastAsia" w:ascii="仿宋_GB2312" w:hAnsi="仿宋_GB2312" w:eastAsia="仿宋_GB2312" w:cs="仿宋_GB2312"/>
          <w:b w:val="0"/>
          <w:bCs w:val="0"/>
          <w:color w:val="000000"/>
          <w:sz w:val="32"/>
          <w:szCs w:val="32"/>
        </w:rPr>
        <w:t>企业各项安全生产强制性标准的执行情况。</w:t>
      </w:r>
    </w:p>
    <w:p>
      <w:pPr>
        <w:pStyle w:val="16"/>
        <w:ind w:firstLine="632"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11.安全生产举报奖励落实情况。</w:t>
      </w:r>
      <w:r>
        <w:rPr>
          <w:rFonts w:hint="eastAsia" w:ascii="仿宋_GB2312" w:hAnsi="仿宋_GB2312" w:eastAsia="仿宋_GB2312" w:cs="仿宋_GB2312"/>
          <w:b w:val="0"/>
          <w:bCs w:val="0"/>
          <w:color w:val="000000"/>
          <w:sz w:val="32"/>
          <w:szCs w:val="32"/>
        </w:rPr>
        <w:t>报告内容是否明确、报告渠道是否畅通、奖励是否兑现、整改是否到位等情况。</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三</w:t>
      </w: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执法检查具体安排。</w:t>
      </w:r>
      <w:r>
        <w:rPr>
          <w:rFonts w:hint="eastAsia" w:ascii="仿宋_GB2312" w:hAnsi="仿宋_GB2312" w:eastAsia="仿宋_GB2312" w:cs="仿宋_GB2312"/>
          <w:b w:val="0"/>
          <w:bCs w:val="0"/>
          <w:color w:val="000000"/>
          <w:kern w:val="2"/>
          <w:sz w:val="32"/>
          <w:szCs w:val="32"/>
          <w:lang w:val="en-US" w:eastAsia="zh-CN" w:bidi="ar-SA"/>
        </w:rPr>
        <w:t>县局各执法中队按照监督检查计划安排（附件4）和重点执法检查事项（附件2），负责对纳入执法检查范围企业组织实施执法检查，季度检查计划安排见附件5。按照省、市、县工作部署，重点时期开展专项执法检查和集中执法检查。教育培训、应急救援、安全评价检测检验机构等专项执法检查，由承担监管任务的科室对照重点执法检查事项（附件2），结合年度工作安排组织开展执法检查。</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三</w:t>
      </w: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val="en-US" w:eastAsia="zh-CN"/>
        </w:rPr>
        <w:t>执法检查具体安排。</w:t>
      </w:r>
      <w:r>
        <w:rPr>
          <w:rFonts w:hint="eastAsia" w:ascii="仿宋_GB2312" w:hAnsi="仿宋_GB2312" w:eastAsia="仿宋_GB2312" w:cs="仿宋_GB2312"/>
          <w:b w:val="0"/>
          <w:bCs w:val="0"/>
          <w:color w:val="000000"/>
          <w:kern w:val="2"/>
          <w:sz w:val="32"/>
          <w:szCs w:val="32"/>
          <w:lang w:val="en-US" w:eastAsia="zh-CN" w:bidi="ar-SA"/>
        </w:rPr>
        <w:t>严格落实</w:t>
      </w:r>
      <w:r>
        <w:rPr>
          <w:rFonts w:hint="eastAsia" w:ascii="仿宋_GB2312" w:hAnsi="仿宋_GB2312" w:eastAsia="仿宋_GB2312" w:cs="仿宋_GB2312"/>
          <w:b w:val="0"/>
          <w:bCs w:val="0"/>
          <w:color w:val="000000"/>
          <w:sz w:val="32"/>
          <w:szCs w:val="32"/>
        </w:rPr>
        <w:t>《国务院办公厅关于严格规范涉企行政检查的意见》（国办发〔2024〕54号）</w:t>
      </w:r>
      <w:r>
        <w:rPr>
          <w:rFonts w:hint="eastAsia" w:ascii="仿宋_GB2312" w:hAnsi="仿宋_GB2312" w:eastAsia="仿宋_GB2312" w:cs="仿宋_GB2312"/>
          <w:b w:val="0"/>
          <w:bCs w:val="0"/>
          <w:color w:val="000000"/>
          <w:kern w:val="2"/>
          <w:sz w:val="32"/>
          <w:szCs w:val="32"/>
          <w:lang w:val="en-US" w:eastAsia="zh-CN" w:bidi="ar-SA"/>
        </w:rPr>
        <w:t xml:space="preserve">要求 ，合理确定执法检查方式。主要包括： </w:t>
      </w:r>
    </w:p>
    <w:p>
      <w:pPr>
        <w:pStyle w:val="16"/>
        <w:ind w:firstLine="632"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1.</w:t>
      </w:r>
      <w:r>
        <w:rPr>
          <w:rFonts w:hint="eastAsia" w:ascii="仿宋_GB2312" w:hAnsi="仿宋_GB2312" w:eastAsia="仿宋_GB2312" w:cs="仿宋_GB2312"/>
          <w:b w:val="0"/>
          <w:bCs w:val="0"/>
          <w:color w:val="000000"/>
          <w:sz w:val="32"/>
          <w:szCs w:val="32"/>
          <w:lang w:val="en-US" w:eastAsia="zh-CN"/>
        </w:rPr>
        <w:t xml:space="preserve">精准执法。对纳入重点检查范围的企业，特别是非煤矿山、 </w:t>
      </w:r>
    </w:p>
    <w:p>
      <w:pPr>
        <w:pStyle w:val="1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危险化学品、金属冶炼及涉有限空间、涉爆粉尘等高危行业企业， </w:t>
      </w:r>
    </w:p>
    <w:p>
      <w:pPr>
        <w:pStyle w:val="16"/>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全面推行“一企一策”。基于企业固有风险、管理水平及既往检查情况 ，量身定制检查方案 ，实施差异化、精细化监管，提高执法靶向性。 </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2.随机抽查与突击检查。结合重点时段安全保障需要及日常监管情况 ，对存在重大安全风险、重大危险源或高风险作业活动的企业，加大“双随机 、一公开”抽查力度。灵活采取</w:t>
      </w:r>
      <w:bookmarkStart w:id="0" w:name="_GoBack"/>
      <w:bookmarkEnd w:id="0"/>
      <w:r>
        <w:rPr>
          <w:rFonts w:hint="eastAsia" w:ascii="仿宋_GB2312" w:hAnsi="仿宋_GB2312" w:eastAsia="仿宋_GB2312" w:cs="仿宋_GB2312"/>
          <w:b w:val="0"/>
          <w:bCs w:val="0"/>
          <w:color w:val="000000"/>
          <w:kern w:val="2"/>
          <w:sz w:val="32"/>
          <w:szCs w:val="32"/>
          <w:lang w:val="en-US" w:eastAsia="zh-CN" w:bidi="ar-SA"/>
        </w:rPr>
        <w:t xml:space="preserve">“双盲”抽 查 、“四不两直”暗查暗访等方式，增强执法行动的突然性和威慑力。 </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3.专项检查。围绕典型事故暴露的深层次问题、特定行业领域 突出风险、季节性安全特点 ，以及投诉举报、信访转办、媒体曝光 、监测预警等具体线索，组织开展有针对性的专项执法行动，集中力量整治突出问题。 </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4.非现场监管执法。深化“互联网+ 执法”应用，充分利用风险监测预警、视频监控、在线巡查等信息化手段，推行“线上巡查监测预警、线下精准核查处置”模式 。通过非现场方式发现违法线索、固定相关证据，推动现场 执法向信息化、智能化 转型 ，提升执法效能 。 </w:t>
      </w:r>
    </w:p>
    <w:p>
      <w:pPr>
        <w:pStyle w:val="16"/>
        <w:ind w:firstLine="63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5.联合执法。加强内部协同和外部联动,积极探索开展跨部门、跨层级的联合执法检查，推动实现“进一次门、查多项事”，减少重复检查，减轻企业负担，形成监管合力。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四 </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工作</w:t>
      </w:r>
      <w:r>
        <w:rPr>
          <w:rFonts w:hint="eastAsia" w:ascii="黑体" w:hAnsi="黑体" w:eastAsia="黑体" w:cs="黑体"/>
          <w:kern w:val="0"/>
          <w:sz w:val="32"/>
          <w:szCs w:val="32"/>
        </w:rPr>
        <w:t>要求</w:t>
      </w:r>
    </w:p>
    <w:p>
      <w:pPr>
        <w:pStyle w:val="1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textAlignment w:val="auto"/>
        <w:rPr>
          <w:rFonts w:hint="eastAsia" w:cs="仿宋_GB2312"/>
          <w:kern w:val="2"/>
          <w:sz w:val="32"/>
          <w:szCs w:val="32"/>
          <w:lang w:val="en-US" w:eastAsia="zh-CN" w:bidi="ar-SA"/>
        </w:rPr>
      </w:pPr>
      <w:r>
        <w:rPr>
          <w:rFonts w:hint="eastAsia" w:ascii="楷体_GB2312" w:hAnsi="楷体_GB2312" w:eastAsia="楷体_GB2312" w:cs="楷体_GB2312"/>
          <w:bCs/>
          <w:kern w:val="0"/>
          <w:sz w:val="32"/>
          <w:szCs w:val="32"/>
          <w:lang w:val="en-US" w:eastAsia="zh-CN" w:bidi="ar-SA"/>
        </w:rPr>
        <w:t>精准执法对象，突出重点检查。</w:t>
      </w:r>
      <w:r>
        <w:rPr>
          <w:rFonts w:hint="eastAsia" w:ascii="仿宋_GB2312" w:hAnsi="仿宋_GB2312" w:eastAsia="仿宋_GB2312" w:cs="仿宋_GB2312"/>
          <w:kern w:val="2"/>
          <w:sz w:val="32"/>
          <w:szCs w:val="32"/>
          <w:lang w:val="en-US" w:eastAsia="zh-CN" w:bidi="ar-SA"/>
        </w:rPr>
        <w:t>各</w:t>
      </w:r>
      <w:r>
        <w:rPr>
          <w:rFonts w:hint="eastAsia" w:cs="仿宋_GB2312"/>
          <w:kern w:val="2"/>
          <w:sz w:val="32"/>
          <w:szCs w:val="32"/>
          <w:lang w:val="en-US" w:eastAsia="zh-CN" w:bidi="ar-SA"/>
        </w:rPr>
        <w:t>有关科室要科学组织实施年度监督检查工作。将2022年以来发生过生产安全事故且目前仍在正常经营的非煤矿山、危险化学品、金属冶炼等企业，确定为2026年度重点执法对象；同时将工贸领域其他事故企业纳入重点监管范围。此外，检查内容须紧扣事故暴露的深层问题，动态完善执法检查重点事项清单，将企业主要负责人履职、全员安全生产责任制落实、双重预防机制运行、安全教育培训、现场作业于外包用工管理、事故隐患报告等列为必查项目。严格对照重大事故隐患判定标准，实施精准排查与严肃政治。</w:t>
      </w:r>
    </w:p>
    <w:p>
      <w:pPr>
        <w:pStyle w:val="1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left="0" w:leftChars="0"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Cs/>
          <w:kern w:val="0"/>
          <w:sz w:val="32"/>
          <w:szCs w:val="32"/>
          <w:lang w:val="en-US" w:eastAsia="zh-CN" w:bidi="ar-SA"/>
        </w:rPr>
        <w:t>严格执法程序，优化执法流程。</w:t>
      </w:r>
      <w:r>
        <w:rPr>
          <w:rFonts w:hint="eastAsia" w:ascii="仿宋_GB2312" w:hAnsi="仿宋_GB2312" w:eastAsia="仿宋_GB2312" w:cs="仿宋_GB2312"/>
          <w:b w:val="0"/>
          <w:bCs w:val="0"/>
          <w:color w:val="000000"/>
          <w:sz w:val="32"/>
          <w:szCs w:val="32"/>
        </w:rPr>
        <w:t>严格执行《国务院办公厅关于严格规范涉企行政检查的意见》的相关要求，依法依规开展执法活动。必须依据年度监督检查计划及企业分类分级监管制度，恪守法定检查标准和程序。全面推广应用“互联网+执法”系统及“扫码查”APP等信息化工具，统一使用《安全生产执法手册（2025年版）》制定的新版执法文书，严格落实检查前备案、检查中规范记录、检查后结果公开的全流程管理。坚持“谁检查、谁负责”原则，规范现场检查、询问调查、证据采集与固定等关键环节。全面推行“说理式执法”，完善“执法告知、现场检查、交流反馈”程序，坚持“企业主要负责人、安全管理人员、岗位操作员工全过程在场”，并推广</w:t>
      </w:r>
      <w:r>
        <w:rPr>
          <w:rFonts w:hint="eastAsia" w:ascii="仿宋_GB2312" w:hAnsi="仿宋_GB2312" w:eastAsia="仿宋_GB2312" w:cs="仿宋_GB2312"/>
          <w:b w:val="0"/>
          <w:bCs w:val="0"/>
          <w:color w:val="000000"/>
          <w:sz w:val="32"/>
          <w:szCs w:val="32"/>
          <w:highlight w:val="none"/>
        </w:rPr>
        <w:t>“执法</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rPr>
        <w:t>专家”的“三位一体”</w:t>
      </w:r>
      <w:r>
        <w:rPr>
          <w:rFonts w:hint="eastAsia" w:ascii="仿宋_GB2312" w:hAnsi="仿宋_GB2312" w:eastAsia="仿宋_GB2312" w:cs="仿宋_GB2312"/>
          <w:b w:val="0"/>
          <w:bCs w:val="0"/>
          <w:color w:val="000000"/>
          <w:sz w:val="32"/>
          <w:szCs w:val="32"/>
        </w:rPr>
        <w:t>工作模式，提升执法规范化、专业化水平。严格执行行政执法公示、执法全过程记录、重大执法决定法制审核“三项制度”，确保执法行为全程留痕、合法有效。</w:t>
      </w:r>
    </w:p>
    <w:p>
      <w:pPr>
        <w:numPr>
          <w:ilvl w:val="0"/>
          <w:numId w:val="1"/>
        </w:numPr>
        <w:ind w:left="0" w:leftChars="0" w:firstLine="632" w:firstLineChars="200"/>
        <w:rPr>
          <w:rFonts w:hint="eastAsia"/>
          <w:lang w:val="en-US" w:eastAsia="zh-CN"/>
        </w:rPr>
      </w:pPr>
      <w:r>
        <w:rPr>
          <w:rFonts w:hint="eastAsia"/>
          <w:lang w:val="en-US" w:eastAsia="zh-CN"/>
        </w:rPr>
        <w:t>坚持闭环管理，确保隐患清零。始终将重大事故隐患排查整治置于中心位置，持续采取“四不两直”、暗访抽查、随机检查等方式开展执法。建立健全“企业自查自改、部门监督检查、跟踪督办复查”的隐患治理闭环机制，通过“回头看”、随机复查等手段，压实企业主体责任，督促其主动排查并整改重大隐患，紧盯整改销号环节，确保重大事故隐患“动态清零”。对检查中发现的应予以行政处罚的违法行为，必须及时立案查处；对存在的隐患问题，严格执行“一案双罚”、责令停产停业等执法措施。对拒不整改或整改不到位的，已发采取停产整顿、从严处罚等措施；涉嫌犯罪的，坚决按规定移送公安机关追究刑事责任。</w:t>
      </w:r>
    </w:p>
    <w:p>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Cs/>
          <w:kern w:val="0"/>
          <w:sz w:val="32"/>
          <w:szCs w:val="32"/>
          <w:lang w:val="en-US" w:eastAsia="zh-CN" w:bidi="ar-SA"/>
        </w:rPr>
        <w:t>（四）融合监管服务，优化营商环境。</w:t>
      </w:r>
      <w:r>
        <w:rPr>
          <w:rFonts w:hint="eastAsia" w:ascii="仿宋_GB2312" w:hAnsi="仿宋_GB2312" w:eastAsia="仿宋_GB2312" w:cs="仿宋_GB2312"/>
          <w:b w:val="0"/>
          <w:bCs w:val="0"/>
          <w:color w:val="000000"/>
          <w:sz w:val="32"/>
          <w:szCs w:val="32"/>
          <w:lang w:val="en-US" w:eastAsia="zh-CN"/>
        </w:rPr>
        <w:t>认真落实国家和省、市、县优化营商环境、促进民营经济发展相关法规政策要求，</w:t>
      </w:r>
      <w:r>
        <w:rPr>
          <w:rFonts w:hint="eastAsia" w:ascii="仿宋_GB2312" w:hAnsi="仿宋_GB2312" w:eastAsia="仿宋_GB2312" w:cs="仿宋_GB2312"/>
          <w:b w:val="0"/>
          <w:bCs w:val="0"/>
          <w:color w:val="000000"/>
          <w:sz w:val="32"/>
          <w:szCs w:val="32"/>
        </w:rPr>
        <w:t>以安全生产治本攻坚三年行动为抓手，将指导服务贯穿检查全过程。</w:t>
      </w:r>
      <w:r>
        <w:rPr>
          <w:rFonts w:hint="eastAsia" w:cs="仿宋_GB2312"/>
          <w:b w:val="0"/>
          <w:bCs w:val="0"/>
          <w:color w:val="000000"/>
          <w:sz w:val="32"/>
          <w:szCs w:val="32"/>
          <w:lang w:val="en-US" w:eastAsia="zh-CN"/>
        </w:rPr>
        <w:t>除直接涉及人民群众生命安全、发生重特大事故或者举办国家重大活动并报经有权机关批准外，不得在相关区域要求相关行业、领域普遍实施停产、停业。</w:t>
      </w:r>
      <w:r>
        <w:rPr>
          <w:rFonts w:hint="eastAsia" w:ascii="仿宋_GB2312" w:hAnsi="仿宋_GB2312" w:eastAsia="仿宋_GB2312" w:cs="仿宋_GB2312"/>
          <w:b w:val="0"/>
          <w:bCs w:val="0"/>
          <w:color w:val="000000"/>
          <w:sz w:val="32"/>
          <w:szCs w:val="32"/>
        </w:rPr>
        <w:t>针对中小企业安全管理薄弱问题，提供政策解读、技术支持及培训指导。推行包容审慎监管，对轻微违法且未造成危害后果的，落实“首违不罚”“轻微免罚”。在监督检查计划范围内，</w:t>
      </w:r>
      <w:r>
        <w:rPr>
          <w:rFonts w:hint="eastAsia" w:ascii="仿宋_GB2312" w:hAnsi="仿宋_GB2312" w:eastAsia="仿宋_GB2312" w:cs="仿宋_GB2312"/>
          <w:b w:val="0"/>
          <w:bCs w:val="0"/>
          <w:color w:val="000000"/>
          <w:sz w:val="32"/>
          <w:szCs w:val="32"/>
          <w:lang w:val="en-US" w:eastAsia="zh-CN"/>
        </w:rPr>
        <w:t>对</w:t>
      </w:r>
      <w:r>
        <w:rPr>
          <w:rFonts w:hint="eastAsia" w:ascii="仿宋_GB2312" w:hAnsi="仿宋_GB2312" w:eastAsia="仿宋_GB2312" w:cs="仿宋_GB2312"/>
          <w:b w:val="0"/>
          <w:bCs w:val="0"/>
          <w:color w:val="000000"/>
          <w:sz w:val="32"/>
          <w:szCs w:val="32"/>
        </w:rPr>
        <w:t>企业</w:t>
      </w:r>
      <w:r>
        <w:rPr>
          <w:rFonts w:hint="eastAsia" w:ascii="仿宋_GB2312" w:hAnsi="仿宋_GB2312" w:eastAsia="仿宋_GB2312" w:cs="仿宋_GB2312"/>
          <w:b w:val="0"/>
          <w:bCs w:val="0"/>
          <w:color w:val="000000"/>
          <w:sz w:val="32"/>
          <w:szCs w:val="32"/>
          <w:lang w:val="en-US" w:eastAsia="zh-CN"/>
        </w:rPr>
        <w:t>进行</w:t>
      </w:r>
      <w:r>
        <w:rPr>
          <w:rFonts w:hint="eastAsia" w:ascii="仿宋_GB2312" w:hAnsi="仿宋_GB2312" w:eastAsia="仿宋_GB2312" w:cs="仿宋_GB2312"/>
          <w:b w:val="0"/>
          <w:bCs w:val="0"/>
          <w:color w:val="000000"/>
          <w:sz w:val="32"/>
          <w:szCs w:val="32"/>
        </w:rPr>
        <w:t>帮扶指导，</w:t>
      </w:r>
      <w:r>
        <w:rPr>
          <w:rFonts w:hint="eastAsia" w:ascii="仿宋_GB2312" w:hAnsi="仿宋_GB2312" w:eastAsia="仿宋_GB2312" w:cs="仿宋_GB2312"/>
          <w:b w:val="0"/>
          <w:bCs w:val="0"/>
          <w:color w:val="000000"/>
          <w:sz w:val="32"/>
          <w:szCs w:val="32"/>
          <w:lang w:val="en-US" w:eastAsia="zh-CN"/>
        </w:rPr>
        <w:t>助力</w:t>
      </w:r>
      <w:r>
        <w:rPr>
          <w:rFonts w:hint="eastAsia" w:ascii="仿宋_GB2312" w:hAnsi="仿宋_GB2312" w:eastAsia="仿宋_GB2312" w:cs="仿宋_GB2312"/>
          <w:b w:val="0"/>
          <w:bCs w:val="0"/>
          <w:color w:val="000000"/>
          <w:sz w:val="32"/>
          <w:szCs w:val="32"/>
        </w:rPr>
        <w:t>企业提升安全管理水平。</w:t>
      </w:r>
    </w:p>
    <w:p>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Cs/>
          <w:kern w:val="0"/>
          <w:sz w:val="32"/>
          <w:szCs w:val="32"/>
          <w:lang w:val="en-US" w:eastAsia="zh-CN" w:bidi="ar-SA"/>
        </w:rPr>
        <w:t>（五）夯实队伍基础，提升履职能力。</w:t>
      </w:r>
      <w:r>
        <w:rPr>
          <w:rFonts w:hint="eastAsia" w:ascii="仿宋_GB2312" w:hAnsi="仿宋_GB2312" w:eastAsia="仿宋_GB2312" w:cs="仿宋_GB2312"/>
          <w:b w:val="0"/>
          <w:bCs w:val="0"/>
          <w:color w:val="000000"/>
          <w:sz w:val="32"/>
          <w:szCs w:val="32"/>
        </w:rPr>
        <w:t>狠抓执法队伍建设，严格履行《行政执法人员行为准则》要求，加强仪容风纪教育管理，严格落实持证上岗、亮证执法制度，着统一制式服装，戴统一</w:t>
      </w:r>
      <w:r>
        <w:rPr>
          <w:rFonts w:hint="eastAsia" w:ascii="仿宋_GB2312" w:hAnsi="仿宋_GB2312" w:eastAsia="仿宋_GB2312" w:cs="仿宋_GB2312"/>
          <w:b w:val="0"/>
          <w:bCs w:val="0"/>
          <w:color w:val="000000"/>
          <w:sz w:val="32"/>
          <w:szCs w:val="32"/>
          <w:lang w:val="en-US" w:eastAsia="zh-CN"/>
        </w:rPr>
        <w:t>标志</w:t>
      </w:r>
      <w:r>
        <w:rPr>
          <w:rFonts w:hint="eastAsia" w:ascii="仿宋_GB2312" w:hAnsi="仿宋_GB2312" w:eastAsia="仿宋_GB2312" w:cs="仿宋_GB2312"/>
          <w:b w:val="0"/>
          <w:bCs w:val="0"/>
          <w:color w:val="000000"/>
          <w:sz w:val="32"/>
          <w:szCs w:val="32"/>
        </w:rPr>
        <w:t>，树文明形象。定期开展业务培训，重点提升风险辨识、隐患排查及现场处置能力，规范执法言行。加强执法纪律监督，严禁以权谋私，对不作为、乱作为等问题严肃追责问责，打造忠诚干净担当的执法队伍。</w:t>
      </w:r>
    </w:p>
    <w:p>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Cs/>
          <w:kern w:val="0"/>
          <w:sz w:val="32"/>
          <w:szCs w:val="32"/>
          <w:lang w:val="en-US" w:eastAsia="zh-CN" w:bidi="ar-SA"/>
        </w:rPr>
        <w:t>（六）加强统计分析，刚性执法计划。</w:t>
      </w:r>
      <w:r>
        <w:rPr>
          <w:rFonts w:hint="eastAsia" w:ascii="仿宋_GB2312" w:hAnsi="仿宋_GB2312" w:eastAsia="仿宋_GB2312" w:cs="仿宋_GB2312"/>
          <w:b w:val="0"/>
          <w:bCs w:val="0"/>
          <w:color w:val="000000"/>
          <w:sz w:val="32"/>
          <w:szCs w:val="32"/>
        </w:rPr>
        <w:t>定期对监督检查情况</w:t>
      </w:r>
      <w:r>
        <w:rPr>
          <w:rFonts w:hint="eastAsia" w:ascii="仿宋_GB2312" w:hAnsi="仿宋_GB2312" w:eastAsia="仿宋_GB2312" w:cs="仿宋_GB2312"/>
          <w:b w:val="0"/>
          <w:bCs w:val="0"/>
          <w:color w:val="000000"/>
          <w:sz w:val="32"/>
          <w:szCs w:val="32"/>
          <w:lang w:val="en-US" w:eastAsia="zh-CN"/>
        </w:rPr>
        <w:t>汇总进行</w:t>
      </w:r>
      <w:r>
        <w:rPr>
          <w:rFonts w:hint="eastAsia" w:ascii="仿宋_GB2312" w:hAnsi="仿宋_GB2312" w:eastAsia="仿宋_GB2312" w:cs="仿宋_GB2312"/>
          <w:b w:val="0"/>
          <w:bCs w:val="0"/>
          <w:color w:val="000000"/>
          <w:sz w:val="32"/>
          <w:szCs w:val="32"/>
        </w:rPr>
        <w:t>分析研判，围绕监管执法中发现的共性问题和薄弱环节，深入剖析原因，找准对策。定期报送年度监督检查计划执行情况。年度监督检查计划发生重大调整的，要严格按照《安全生产年度监督检查计划编制办法》规定，重新履行报批和备案手续。扎实推进“双随机、一公开”执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不断完善“一单两库”，保证必要覆盖面。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p>
    <w:p>
      <w:pPr>
        <w:pStyle w:val="16"/>
        <w:ind w:firstLine="632" w:firstLineChars="200"/>
        <w:rPr>
          <w:rFonts w:hint="default" w:ascii="仿宋_GB2312" w:hAnsi="仿宋_GB2312" w:eastAsia="仿宋_GB2312" w:cs="仿宋_GB2312"/>
          <w:b w:val="0"/>
          <w:bCs w:val="0"/>
          <w:color w:val="000000"/>
          <w:kern w:val="2"/>
          <w:sz w:val="32"/>
          <w:szCs w:val="32"/>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cs="仿宋_GB2312"/>
          <w:sz w:val="32"/>
          <w:szCs w:val="32"/>
          <w:lang w:val="en-US" w:eastAsia="zh-CN"/>
        </w:rPr>
        <w:t>监督检查工作日测算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1580" w:firstLineChars="500"/>
        <w:jc w:val="both"/>
        <w:textAlignment w:val="auto"/>
        <w:rPr>
          <w:rFonts w:hint="eastAsia" w:ascii="仿宋_GB2312" w:hAnsi="仿宋_GB2312" w:eastAsia="仿宋_GB2312" w:cs="仿宋_GB2312"/>
          <w:sz w:val="32"/>
          <w:szCs w:val="32"/>
        </w:rPr>
      </w:pPr>
      <w:r>
        <w:rPr>
          <w:rFonts w:hint="eastAsia" w:cs="仿宋_GB2312"/>
          <w:sz w:val="32"/>
          <w:szCs w:val="32"/>
          <w:lang w:val="en-US" w:eastAsia="zh-CN"/>
        </w:rPr>
        <w:t>2.</w:t>
      </w:r>
      <w:r>
        <w:rPr>
          <w:rFonts w:hint="eastAsia" w:ascii="仿宋_GB2312" w:hAnsi="仿宋_GB2312" w:eastAsia="仿宋_GB2312" w:cs="仿宋_GB2312"/>
          <w:sz w:val="32"/>
          <w:szCs w:val="32"/>
        </w:rPr>
        <w:t>重点</w:t>
      </w:r>
      <w:r>
        <w:rPr>
          <w:rFonts w:hint="eastAsia" w:ascii="仿宋_GB2312" w:hAnsi="仿宋_GB2312" w:eastAsia="仿宋_GB2312" w:cs="仿宋_GB2312"/>
          <w:b w:val="0"/>
          <w:bCs w:val="0"/>
          <w:color w:val="000000"/>
          <w:kern w:val="2"/>
          <w:sz w:val="32"/>
          <w:szCs w:val="32"/>
          <w:lang w:val="en-US" w:eastAsia="zh-CN" w:bidi="ar-SA"/>
        </w:rPr>
        <w:t>执法检查事项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1580" w:firstLineChars="500"/>
        <w:jc w:val="both"/>
        <w:textAlignment w:val="auto"/>
        <w:rPr>
          <w:rFonts w:hint="eastAsia" w:ascii="仿宋_GB2312" w:hAnsi="仿宋_GB2312" w:eastAsia="仿宋_GB2312" w:cs="仿宋_GB2312"/>
          <w:sz w:val="32"/>
          <w:szCs w:val="32"/>
        </w:rPr>
      </w:pPr>
      <w:r>
        <w:rPr>
          <w:rFonts w:hint="eastAsia"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年度监督检查重点企业名单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1580" w:firstLineChars="500"/>
        <w:jc w:val="both"/>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4.2026年度</w:t>
      </w:r>
      <w:r>
        <w:rPr>
          <w:rFonts w:hint="eastAsia" w:ascii="仿宋_GB2312" w:hAnsi="仿宋_GB2312" w:eastAsia="仿宋_GB2312" w:cs="仿宋_GB2312"/>
          <w:sz w:val="32"/>
          <w:szCs w:val="32"/>
          <w:lang w:val="en-US" w:eastAsia="zh-CN"/>
        </w:rPr>
        <w:t>监督检查</w:t>
      </w:r>
      <w:r>
        <w:rPr>
          <w:rFonts w:hint="eastAsia" w:cs="仿宋_GB2312"/>
          <w:sz w:val="32"/>
          <w:szCs w:val="32"/>
          <w:lang w:val="en-US" w:eastAsia="zh-CN"/>
        </w:rPr>
        <w:t>任务</w:t>
      </w:r>
      <w:r>
        <w:rPr>
          <w:rFonts w:hint="eastAsia" w:ascii="仿宋_GB2312" w:hAnsi="仿宋_GB2312" w:eastAsia="仿宋_GB2312" w:cs="仿宋_GB2312"/>
          <w:sz w:val="32"/>
          <w:szCs w:val="32"/>
          <w:lang w:val="en-US" w:eastAsia="zh-CN"/>
        </w:rPr>
        <w:t>计划分配表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1580" w:firstLineChars="500"/>
        <w:jc w:val="both"/>
        <w:textAlignment w:val="auto"/>
        <w:rPr>
          <w:rFonts w:hint="default" w:ascii="仿宋_GB2312" w:hAnsi="仿宋_GB2312" w:eastAsia="仿宋_GB2312" w:cs="仿宋_GB2312"/>
          <w:bCs/>
          <w:sz w:val="32"/>
          <w:szCs w:val="32"/>
          <w:lang w:val="en-US" w:eastAsia="zh-CN"/>
        </w:rPr>
      </w:pPr>
      <w:r>
        <w:rPr>
          <w:rFonts w:hint="eastAsia" w:cs="仿宋_GB2312"/>
          <w:sz w:val="32"/>
          <w:szCs w:val="32"/>
          <w:lang w:val="en-US" w:eastAsia="zh-CN"/>
        </w:rPr>
        <w:t>5</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年度监督检查任务</w:t>
      </w:r>
      <w:r>
        <w:rPr>
          <w:rFonts w:hint="eastAsia" w:cs="仿宋_GB2312"/>
          <w:sz w:val="32"/>
          <w:szCs w:val="32"/>
          <w:lang w:val="en-US" w:eastAsia="zh-CN"/>
        </w:rPr>
        <w:t>季度计划安排表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pStyle w:val="16"/>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附件1</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监督检查工作日测算</w:t>
      </w:r>
    </w:p>
    <w:p>
      <w:pPr>
        <w:pStyle w:val="16"/>
        <w:rPr>
          <w:rFonts w:hint="eastAsia" w:ascii="方正小标宋简体" w:hAnsi="方正小标宋简体" w:eastAsia="方正小标宋简体" w:cs="方正小标宋简体"/>
          <w:bCs/>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一、监督检查力量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目前，我局执法中队执法在岗人员8人。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val="0"/>
        <w:bidi w:val="0"/>
        <w:adjustRightInd w:val="0"/>
        <w:snapToGrid w:val="0"/>
        <w:spacing w:line="560" w:lineRule="exact"/>
        <w:ind w:firstLine="632" w:firstLineChars="200"/>
        <w:jc w:val="both"/>
        <w:textAlignment w:val="auto"/>
        <w:rPr>
          <w:rFonts w:hint="default" w:ascii="方正小标宋简体" w:hAnsi="方正小标宋简体" w:eastAsia="方正小标宋简体" w:cs="方正小标宋简体"/>
          <w:bCs/>
          <w:sz w:val="44"/>
          <w:szCs w:val="44"/>
          <w:lang w:val="en-US" w:eastAsia="zh-CN"/>
        </w:rPr>
      </w:pPr>
      <w:r>
        <w:rPr>
          <w:rFonts w:hint="eastAsia" w:ascii="黑体" w:hAnsi="黑体" w:eastAsia="黑体" w:cs="黑体"/>
          <w:kern w:val="0"/>
          <w:sz w:val="32"/>
          <w:szCs w:val="32"/>
          <w:lang w:val="en-US" w:eastAsia="zh-CN"/>
        </w:rPr>
        <w:t>二、监督检查工作日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Cs/>
          <w:kern w:val="0"/>
          <w:sz w:val="32"/>
          <w:szCs w:val="32"/>
        </w:rPr>
        <w:t>（一）总法定工作日</w:t>
      </w:r>
      <w:r>
        <w:rPr>
          <w:rFonts w:hint="eastAsia" w:ascii="楷体_GB2312" w:hAnsi="楷体_GB2312" w:eastAsia="楷体_GB2312" w:cs="楷体_GB2312"/>
          <w:bCs/>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年全年共365天，双休日104天，元旦、春节、五一、端午、国庆等法定假日共计13天。国家法定工作日=365-104-13=248天。</w:t>
      </w:r>
      <w:r>
        <w:rPr>
          <w:rFonts w:hint="eastAsia" w:cs="仿宋_GB2312"/>
          <w:kern w:val="0"/>
          <w:sz w:val="32"/>
          <w:szCs w:val="32"/>
          <w:lang w:val="en-US" w:eastAsia="zh-CN"/>
        </w:rPr>
        <w:t>依据原国家安全监管总局《关于印发安全生产年度监督检查计划编制办法的通知》</w:t>
      </w:r>
      <w:r>
        <w:rPr>
          <w:rFonts w:hint="eastAsia" w:ascii="仿宋_GB2312" w:hAnsi="仿宋_GB2312" w:eastAsia="仿宋_GB2312" w:cs="仿宋_GB2312"/>
          <w:kern w:val="0"/>
          <w:sz w:val="32"/>
          <w:szCs w:val="32"/>
        </w:rPr>
        <w:t>（安监总政法〔2017〕150号）</w:t>
      </w:r>
      <w:r>
        <w:rPr>
          <w:rFonts w:hint="eastAsia" w:cs="仿宋_GB2312"/>
          <w:kern w:val="0"/>
          <w:sz w:val="32"/>
          <w:szCs w:val="32"/>
          <w:lang w:val="en-US" w:eastAsia="zh-CN"/>
        </w:rPr>
        <w:t>的要求，</w:t>
      </w:r>
      <w:r>
        <w:rPr>
          <w:rFonts w:hint="eastAsia" w:ascii="仿宋_GB2312" w:hAnsi="仿宋_GB2312" w:eastAsia="仿宋_GB2312" w:cs="仿宋_GB2312"/>
          <w:kern w:val="0"/>
          <w:sz w:val="32"/>
          <w:szCs w:val="32"/>
        </w:rPr>
        <w:t>总法定工作日=国家法定工作日×执法人员数量=248×8=1984天。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（二）其他执法工作日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包括安全生产督导、开展专项检查、暗查暗访、组织生产安全事故调查处理、核实举报投诉、参加有关部门联合执法、开展对中介服务机构的监督检查、安全生产宣教培训、组织听证、办理行政复议、办理行政应诉以及完成本级政府和上级部门安排的其他执法工作任务等。结合前三个年度情况，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年按照每人80天计，合计为80×8=640天。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（三）非执法工作日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主要包括机关值班，企业宁静日、各类学习、培训、考核、会议，参加党群活动，病、事假，法定年休假、探亲假、婚（丧）假等。结合前三个年度情况，202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年按照每人65天计，合计为65×8=520天。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（四）监督检查工作日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监督检查工作日=总法定工作日-其他执法工作日-非执法工作日=1984-640-520=824天。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年监督检查工作日为824天。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ind w:firstLine="632" w:firstLineChars="200"/>
        <w:jc w:val="both"/>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（五）计划监督检查工作日及监督检查企业数量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按照平均闭环执法检查1家</w:t>
      </w:r>
      <w:r>
        <w:rPr>
          <w:rFonts w:hint="eastAsia" w:ascii="仿宋_GB2312" w:hAnsi="仿宋_GB2312" w:eastAsia="仿宋_GB2312" w:cs="仿宋_GB2312"/>
          <w:kern w:val="0"/>
          <w:sz w:val="32"/>
          <w:szCs w:val="32"/>
        </w:rPr>
        <w:t>企业需2名执法人员、3天计，完成共需监督检查工作日6天。202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年监督检查工作日为824天，年计划需完成监督检查企业数量（监督检查工作日÷执法检查1家企业工作日=824÷6≈138家，故年度监督检查按不低于138家安排，经最终确定202</w:t>
      </w:r>
      <w:r>
        <w:rPr>
          <w:rFonts w:hint="eastAsia" w:cs="仿宋_GB2312"/>
          <w:kern w:val="0"/>
          <w:sz w:val="32"/>
          <w:szCs w:val="32"/>
          <w:lang w:val="en-US" w:eastAsia="zh-CN"/>
        </w:rPr>
        <w:t>6</w:t>
      </w:r>
      <w:r>
        <w:rPr>
          <w:rFonts w:hint="eastAsia" w:ascii="仿宋_GB2312" w:hAnsi="仿宋_GB2312" w:eastAsia="仿宋_GB2312" w:cs="仿宋_GB2312"/>
          <w:kern w:val="0"/>
          <w:sz w:val="32"/>
          <w:szCs w:val="32"/>
        </w:rPr>
        <w:t>年度监督检查企业为14</w:t>
      </w:r>
      <w:r>
        <w:rPr>
          <w:rFonts w:hint="eastAsia" w:cs="仿宋_GB2312"/>
          <w:kern w:val="0"/>
          <w:sz w:val="32"/>
          <w:szCs w:val="32"/>
          <w:lang w:val="en-US" w:eastAsia="zh-CN"/>
        </w:rPr>
        <w:t>6</w:t>
      </w:r>
      <w:r>
        <w:rPr>
          <w:rFonts w:hint="eastAsia" w:ascii="仿宋_GB2312" w:hAnsi="仿宋_GB2312" w:eastAsia="仿宋_GB2312" w:cs="仿宋_GB2312"/>
          <w:kern w:val="0"/>
          <w:sz w:val="32"/>
          <w:szCs w:val="32"/>
        </w:rPr>
        <w:t>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bCs/>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bCs/>
          <w:sz w:val="32"/>
          <w:szCs w:val="32"/>
        </w:rPr>
      </w:pPr>
      <w:r>
        <w:rPr>
          <w:rFonts w:hint="eastAsia" w:ascii="黑体" w:hAnsi="黑体" w:eastAsia="黑体" w:cs="黑体"/>
          <w:sz w:val="32"/>
          <w:szCs w:val="32"/>
        </w:rPr>
        <w:t>附件2</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重点</w:t>
      </w:r>
      <w:r>
        <w:rPr>
          <w:rFonts w:hint="eastAsia" w:ascii="方正小标宋简体" w:hAnsi="方正小标宋简体" w:eastAsia="方正小标宋简体" w:cs="方正小标宋简体"/>
          <w:bCs/>
          <w:sz w:val="44"/>
          <w:szCs w:val="44"/>
          <w:lang w:val="en-US" w:eastAsia="zh-CN"/>
        </w:rPr>
        <w:t>执法检查事项</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bCs/>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非煤矿山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楷体_GB2312" w:hAnsi="楷体_GB2312" w:eastAsia="楷体_GB2312" w:cs="楷体_GB2312"/>
          <w:bCs/>
          <w:color w:val="auto"/>
          <w:kern w:val="0"/>
          <w:sz w:val="32"/>
          <w:szCs w:val="32"/>
          <w:lang w:val="en-US" w:eastAsia="zh-CN" w:bidi="ar-SA"/>
        </w:rPr>
      </w:pPr>
      <w:r>
        <w:rPr>
          <w:rFonts w:hint="eastAsia" w:ascii="楷体_GB2312" w:hAnsi="楷体_GB2312" w:eastAsia="楷体_GB2312" w:cs="楷体_GB2312"/>
          <w:bCs/>
          <w:color w:val="auto"/>
          <w:kern w:val="0"/>
          <w:sz w:val="32"/>
          <w:szCs w:val="32"/>
          <w:lang w:val="en-US" w:eastAsia="zh-CN" w:bidi="ar-SA"/>
        </w:rPr>
        <w:t>（一）通用部分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1.是否按照规定取得相关许可</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2.是否具备有关法律法规、</w:t>
      </w:r>
      <w:r>
        <w:rPr>
          <w:rFonts w:hint="eastAsia" w:ascii="仿宋_GB2312" w:hAnsi="仿宋_GB2312" w:eastAsia="仿宋_GB2312" w:cs="仿宋_GB2312"/>
          <w:b w:val="0"/>
          <w:bCs w:val="0"/>
          <w:color w:val="000000"/>
          <w:sz w:val="32"/>
          <w:szCs w:val="32"/>
          <w:lang w:val="en-US" w:eastAsia="zh-CN"/>
        </w:rPr>
        <w:t>规章</w:t>
      </w:r>
      <w:r>
        <w:rPr>
          <w:rFonts w:hint="eastAsia" w:ascii="仿宋_GB2312" w:hAnsi="仿宋_GB2312" w:eastAsia="仿宋_GB2312" w:cs="仿宋_GB2312"/>
          <w:b w:val="0"/>
          <w:bCs w:val="0"/>
          <w:color w:val="000000"/>
          <w:sz w:val="32"/>
          <w:szCs w:val="32"/>
        </w:rPr>
        <w:t>和国家标准、行业标准或者地方标准规定的安全生产条件</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3.是否严格执行相关标准和安全操作规程，是否存在“三违”现象</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4.是否建立健全全员安全生产责任制度</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5.主要负责人是否依法履行安全生产工作职责、落实安全生产事项</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6.是否按规定提取、使用安全费用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7.是否按规定设置安全管理机构或者配备专职安全生产管理人员</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8.主要负责人、安全生产管理人员是否经考核合格并依法履行安全生产职责</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9.是否按规定进行安全教育培训，教育培训是否存在“走过场”、流于形式，缺乏实操性和针对性</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10.是否按照规定开展建设项目“三同时”及安全评价</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11.是否按规定在有较大危险因素的生产经营场所和有关设施设备上设置明显的安全警示标志</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12.相关安全设备是否正常运转</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13.是否按规定对重大危险源进行管理</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14.是否建立健全生产安全事故隐患排查治理制度，是否建立安全生产风险管控和隐患排查治理双重预防机制，及时发现并消除隐患</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15.是否存在锁闭、封堵安全出口情况</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16.对爆破、吊装、有限空间等危险作业是否按规定安排专人现场管理</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17.是否按规定提供劳动防护用品并按要求佩戴使用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18.是否按规定组织开展安全检查并消除事故隐患</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19.在同一作业区域内进行生产经营活动的，是否按规定签订安全生产管理协议</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20.是否按规定发包、出租</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21.是否按照规定制修订相关应急救援预案并演练，建立应急救援队伍，配备并经常性维护保养应急救援物资装备</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22.是否按规定投保安责险</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23.是否按照规定推进安全生产专项整治三年行动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24.相关安全生产技术服务机构、安全培训机构是否按照规定开展技术服务或组织培训活动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25.处于建设阶段的相关项目中，建设单位、施工单位、监理单位是否取得相关证照、资质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26.对属于停产、停建的项目或单位，是否落实停产停建管控措施。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Cs/>
          <w:color w:val="auto"/>
          <w:kern w:val="0"/>
          <w:sz w:val="32"/>
          <w:szCs w:val="32"/>
          <w:lang w:val="en-US" w:eastAsia="zh-CN" w:bidi="ar-SA"/>
        </w:rPr>
        <w:t>（二）基建矿山企业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1.安全设施设计是否经应急管理部门审查同意</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2.是否按照批准的范围和设计进行施工建设，发生重大变更的是否履行了变更手续</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3.建设单位、施工单位、</w:t>
      </w:r>
      <w:r>
        <w:rPr>
          <w:rFonts w:hint="eastAsia" w:ascii="仿宋_GB2312" w:hAnsi="仿宋_GB2312" w:eastAsia="仿宋_GB2312" w:cs="仿宋_GB2312"/>
          <w:b w:val="0"/>
          <w:bCs w:val="0"/>
          <w:color w:val="000000"/>
          <w:sz w:val="32"/>
          <w:szCs w:val="32"/>
          <w:lang w:val="en-US" w:eastAsia="zh-CN"/>
        </w:rPr>
        <w:t>监理</w:t>
      </w:r>
      <w:r>
        <w:rPr>
          <w:rFonts w:hint="eastAsia" w:ascii="仿宋_GB2312" w:hAnsi="仿宋_GB2312" w:eastAsia="仿宋_GB2312" w:cs="仿宋_GB2312"/>
          <w:b w:val="0"/>
          <w:bCs w:val="0"/>
          <w:color w:val="000000"/>
          <w:sz w:val="32"/>
          <w:szCs w:val="32"/>
        </w:rPr>
        <w:t>单位是否取得相关证照、资质</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4.是否超建设工期继续组织建设</w:t>
      </w:r>
      <w:r>
        <w:rPr>
          <w:rFonts w:hint="eastAsia" w:cs="仿宋_GB2312"/>
          <w:b w:val="0"/>
          <w:bCs w:val="0"/>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5.是否存在以采代建现象。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楷体_GB2312" w:hAnsi="楷体_GB2312" w:eastAsia="楷体_GB2312" w:cs="楷体_GB2312"/>
          <w:bCs/>
          <w:color w:val="auto"/>
          <w:kern w:val="0"/>
          <w:sz w:val="32"/>
          <w:szCs w:val="32"/>
          <w:lang w:val="en-US" w:eastAsia="zh-CN" w:bidi="ar-SA"/>
        </w:rPr>
      </w:pPr>
      <w:r>
        <w:rPr>
          <w:rFonts w:hint="eastAsia" w:ascii="楷体_GB2312" w:hAnsi="楷体_GB2312" w:eastAsia="楷体_GB2312" w:cs="楷体_GB2312"/>
          <w:bCs/>
          <w:color w:val="auto"/>
          <w:kern w:val="0"/>
          <w:sz w:val="32"/>
          <w:szCs w:val="32"/>
          <w:lang w:val="en-US" w:eastAsia="zh-CN" w:bidi="ar-SA"/>
        </w:rPr>
        <w:t>（三）涉第三方中介服务机构重点执法检查事项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在检查企业时，对涉及到的第三方中介机构服务工作开展情况进行一并检查：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1.内容是否形式化、模板化，是否结合企业实际情况编制制度文件，与本企业安全管理实际是否对应。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2.安全风险管控措施出现标准规范是否引用错误，是否符合相关法规标准和有关文件，制定的防范措施与安全风险是否对应。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lang w:val="en-US" w:eastAsia="zh-CN"/>
        </w:rPr>
      </w:pPr>
      <w:r>
        <w:rPr>
          <w:rFonts w:hint="eastAsia" w:ascii="仿宋_GB2312" w:hAnsi="仿宋_GB2312" w:eastAsia="仿宋_GB2312" w:cs="仿宋_GB2312"/>
          <w:b w:val="0"/>
          <w:bCs w:val="0"/>
          <w:color w:val="000000"/>
          <w:sz w:val="32"/>
          <w:szCs w:val="32"/>
        </w:rPr>
        <w:t>3.报告内容是否与企业实际相符。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、危险化学品</w:t>
      </w:r>
      <w:r>
        <w:rPr>
          <w:rFonts w:hint="eastAsia" w:ascii="黑体" w:hAnsi="黑体" w:eastAsia="黑体" w:cs="黑体"/>
          <w:color w:val="auto"/>
          <w:sz w:val="32"/>
          <w:szCs w:val="32"/>
        </w:rPr>
        <w:t>、烟花爆竹</w:t>
      </w:r>
    </w:p>
    <w:p>
      <w:pPr>
        <w:pStyle w:val="1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spacing w:line="560" w:lineRule="exact"/>
        <w:ind w:firstLine="632"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color w:val="auto"/>
          <w:kern w:val="0"/>
          <w:sz w:val="32"/>
          <w:szCs w:val="32"/>
        </w:rPr>
        <w:t>（一）危险化学品企业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1.新招的（重点监管）危险（化工）工艺操作岗位人员是否经实习期满独立上岗作业</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2.是否存在脱水、装卸、倒罐作业时，作业人员离开现场或油气罐区同一防火堤内切水和动火作业同时进行的情况</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是否按照规定建立有限空间管理台账并及时更新；是否按照规定对有限空间危险因素进行辨识或者是否辨识不全存在缺项；是否按照规定对辨识出的有限空间危险因素进行分级管控；是否对存在中毒窒息或者易燃易爆危险因素的有限空间区域实行人员出入及过程管控</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4.是否存在将火种带入易燃易爆场所或存在脱岗、睡岗、酒后上岗行为</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5.危险化学品生产装置、罐区、仓库等设施与周边的安全距离是否符合要求；涉及“两重点一重大”的生产装置、储存设施外部安全防护距离是否符合国家标准要求</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6.光气、氯气（液氯）等剧毒化学品（及硫化氢气体）管道是否穿（跨）越厂区（工业园区）外的公共区域</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7.地区架空电力线路是否穿越生产区，是否符合国家标准要求</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8.控制室或机柜间面向具有火灾、爆炸危险性装置一侧是否满足国家标准</w:t>
      </w:r>
      <w:r>
        <w:rPr>
          <w:rFonts w:hint="eastAsia" w:ascii="仿宋_GB2312" w:hAnsi="仿宋_GB2312" w:eastAsia="仿宋_GB2312" w:cs="仿宋_GB2312"/>
          <w:kern w:val="0"/>
          <w:sz w:val="32"/>
          <w:szCs w:val="32"/>
          <w:lang w:val="en-US" w:eastAsia="zh-CN"/>
        </w:rPr>
        <w:t>中</w:t>
      </w:r>
      <w:r>
        <w:rPr>
          <w:rFonts w:hint="eastAsia" w:ascii="仿宋_GB2312" w:hAnsi="仿宋_GB2312" w:eastAsia="仿宋_GB2312" w:cs="仿宋_GB2312"/>
          <w:kern w:val="0"/>
          <w:sz w:val="32"/>
          <w:szCs w:val="32"/>
        </w:rPr>
        <w:t>关于防火防爆的要求</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9.生产、经营、储存、使用危险化学品的车间、仓库与员工宿舍在同一座建筑内或与员工宿舍的距离是否符合安全要求</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10.是否存在使用国家明令淘汰的危及生产安全的工艺、设备情况</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11.新开发的危险化学品生产工艺是否经逐级放大试验到工业化生产或首次使用的化工工艺是否经省级人民政府有关部门组织安全可靠性论证；新建装置是否制定试生产方案投料开车；精细化工企业是否按规范性文件要求开展反应安全风险评估</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12.涉及重点监管危险化工工艺、重点监管危险化学品的装置是否实现自动化控制；涉及重点监管危险化工工艺的大型化工装置是否设置紧急停车系统；涉及毒性气体、液化气体、剧毒液体的一级或者二级重大危险源，是否配备独立的安全仪表系统（SIS）</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13.油气储罐是否按规定达到以下要求：（1）液化烃的储罐设液位计、温度计、压力表、安全阀，以及高液位报警和高液位自动连锁切断进料措施；全冷冻式液化烃储罐设与自动控制系统相联的真空泄放设施和高、低温度检测装置；（2）气柜设上、下限位报警装置，并宜设进出管道自动联锁切断装置；（3）液化石油气球形储罐液相</w:t>
      </w:r>
      <w:r>
        <w:rPr>
          <w:rFonts w:hint="eastAsia" w:ascii="仿宋_GB2312" w:hAnsi="仿宋_GB2312" w:eastAsia="仿宋_GB2312" w:cs="仿宋_GB2312"/>
          <w:kern w:val="0"/>
          <w:sz w:val="32"/>
          <w:szCs w:val="32"/>
          <w:lang w:val="en-US" w:eastAsia="zh-CN"/>
        </w:rPr>
        <w:t>联</w:t>
      </w:r>
      <w:r>
        <w:rPr>
          <w:rFonts w:hint="eastAsia" w:ascii="仿宋_GB2312" w:hAnsi="仿宋_GB2312" w:eastAsia="仿宋_GB2312" w:cs="仿宋_GB2312"/>
          <w:kern w:val="0"/>
          <w:sz w:val="32"/>
          <w:szCs w:val="32"/>
        </w:rPr>
        <w:t>进出口设置紧急切断阀，其位置宜靠近球形储罐；（4）丙烯、丙烷、混合C4、抽余C4及液化石油气的球形储罐设置注水措施</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14.液化烃、液氨、液氯等易燃易爆、有毒有害液化气体的充装是否使用万向节管道充装系统</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15.在易燃易爆的爆炸危险区域内是否按相关国家标准使用防爆工具、防爆电器或采取防爆措施</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16.在厂房、围堤、窨井等场所内是否设置有毒有害气体排放口，是否采取有效防范措施</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17.有毒有害、可燃气体泄漏检测报警系统是否按照标准设置、使用或定期检测校验；报警信号发送至有操作人员常驻的控制室、现场操作室</w:t>
      </w:r>
      <w:r>
        <w:rPr>
          <w:rFonts w:hint="eastAsia" w:ascii="仿宋_GB2312" w:hAnsi="仿宋_GB2312" w:eastAsia="仿宋_GB2312" w:cs="仿宋_GB2312"/>
          <w:kern w:val="0"/>
          <w:sz w:val="32"/>
          <w:szCs w:val="32"/>
          <w:lang w:val="en-US" w:eastAsia="zh-CN"/>
        </w:rPr>
        <w:t>的响应通道是否顺畅、快速</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18.涉及放热反应的危险化工工艺生产装置是否设置双重电源供电或控制系统，是否设置不间断电源（UPS）</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19.在用装置（设施）安全阀或泄压排放系统是否正常投用</w:t>
      </w:r>
      <w:r>
        <w:rPr>
          <w:rFonts w:hint="eastAsia" w:cs="仿宋_GB2312"/>
          <w:kern w:val="0"/>
          <w:sz w:val="32"/>
          <w:szCs w:val="32"/>
          <w:lang w:eastAsia="zh-CN"/>
        </w:rPr>
        <w:t>。</w:t>
      </w:r>
      <w:r>
        <w:rPr>
          <w:rFonts w:hint="eastAsia" w:ascii="仿宋_GB2312" w:hAnsi="仿宋_GB2312" w:eastAsia="仿宋_GB2312" w:cs="仿宋_GB2312"/>
          <w:kern w:val="0"/>
          <w:sz w:val="32"/>
          <w:szCs w:val="32"/>
        </w:rPr>
        <w:t>20.涉及液化烃、液氨、液氯、硫化氢等易燃易爆及有毒介质的安全阀及其他泄放设施直排大气是否采取相应安全措施</w:t>
      </w:r>
      <w:r>
        <w:rPr>
          <w:rFonts w:hint="eastAsia" w:cs="仿宋_GB2312"/>
          <w:kern w:val="0"/>
          <w:sz w:val="32"/>
          <w:szCs w:val="32"/>
          <w:lang w:eastAsia="zh-CN"/>
        </w:rPr>
        <w:t>。</w:t>
      </w:r>
      <w:r>
        <w:rPr>
          <w:rFonts w:hint="eastAsia" w:ascii="仿宋_GB2312" w:hAnsi="仿宋_GB2312" w:eastAsia="仿宋_GB2312" w:cs="仿宋_GB2312"/>
          <w:kern w:val="0"/>
          <w:sz w:val="32"/>
          <w:szCs w:val="32"/>
        </w:rPr>
        <w:t>21.危险化学品是否按照标准分区、分类、分库存放，或存在超量、超品种以及相互禁忌物质是否存在混放混存情况</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22.危险化学品专用仓库是否符合国家标准、行业标准的要求。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23.是否将危险化学品储存在专用仓库内，或者是否将剧毒化学品以及储存数量构成重大危险源的其他危险化学品在专用仓库内单独存放</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24.是否配备应急救援器材、设备并进行维护、保养，保证正常运转</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生产、储存危险化学品的单位，是否根据其生产、储存的危险化学品的种类和危险特性，在作业场所设置相应的监测、监控、通风、防晒、调温、防火、灭火、防爆、泄压、防毒、中和、防潮、防雷、防静电、防腐、防泄漏以及防护围堤或者隔离操作等安全设施、设备，是否按照国家标准、行业标准或者国家有关规定对安全设施、设备进行经常性维护、保养，保证安全设施、设备的正常使用。</w:t>
      </w:r>
    </w:p>
    <w:p>
      <w:pPr>
        <w:pStyle w:val="1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spacing w:line="560" w:lineRule="exact"/>
        <w:ind w:firstLine="632" w:firstLineChars="200"/>
        <w:jc w:val="both"/>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（二）烟花爆竹企业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themeColor="text1"/>
          <w:kern w:val="0"/>
          <w:sz w:val="32"/>
          <w:szCs w:val="32"/>
          <w14:textFill>
            <w14:solidFill>
              <w14:schemeClr w14:val="tx1"/>
            </w14:solidFill>
          </w14:textFill>
        </w:rPr>
        <w:t>主要负责人、安全生产管理人员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是否</w:t>
      </w:r>
      <w:r>
        <w:rPr>
          <w:rFonts w:hint="eastAsia" w:ascii="仿宋_GB2312" w:hAnsi="仿宋_GB2312" w:eastAsia="仿宋_GB2312" w:cs="仿宋_GB2312"/>
          <w:color w:val="000000" w:themeColor="text1"/>
          <w:kern w:val="0"/>
          <w:sz w:val="32"/>
          <w:szCs w:val="32"/>
          <w14:textFill>
            <w14:solidFill>
              <w14:schemeClr w14:val="tx1"/>
            </w14:solidFill>
          </w14:textFill>
        </w:rPr>
        <w:t>依法经考核合格</w:t>
      </w:r>
      <w:r>
        <w:rPr>
          <w:rFonts w:hint="eastAsia"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2.特种作业人员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是否</w:t>
      </w:r>
      <w:r>
        <w:rPr>
          <w:rFonts w:hint="eastAsia" w:ascii="仿宋_GB2312" w:hAnsi="仿宋_GB2312" w:eastAsia="仿宋_GB2312" w:cs="仿宋_GB2312"/>
          <w:color w:val="000000" w:themeColor="text1"/>
          <w:kern w:val="0"/>
          <w:sz w:val="32"/>
          <w:szCs w:val="32"/>
          <w14:textFill>
            <w14:solidFill>
              <w14:schemeClr w14:val="tx1"/>
            </w14:solidFill>
          </w14:textFill>
        </w:rPr>
        <w:t>持证上岗</w:t>
      </w:r>
      <w:r>
        <w:rPr>
          <w:rFonts w:hint="eastAsia"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3.工（库）房实际作业人员数量</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超过核定人数</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4.工（库）房实际滞留、存储药量</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超过核定药量</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5.工（库）房内、外部安全距离</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不足，防护屏障</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缺失或者不符合要求</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6.防静电、防火、防雷设备设施</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缺失或者失效</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擅自改变工（库）房用途或者违规私搭乱建</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8.工厂围墙</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缺失或者分区设置不符合国家标准</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建立与岗位相匹配的全员安全生产责任制或者制定实施生产安全事故隐患排查治理制度</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出租、出借、转让、买卖、冒用或者伪造许可证</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11.生产经营的产品种类、危险等级</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超许可范围或者生产使用违禁药物</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cs="仿宋_GB2312"/>
          <w:kern w:val="0"/>
          <w:sz w:val="32"/>
          <w:szCs w:val="32"/>
          <w:lang w:eastAsia="zh-CN"/>
        </w:rPr>
      </w:pPr>
      <w:r>
        <w:rPr>
          <w:rFonts w:hint="eastAsia" w:ascii="仿宋_GB2312" w:hAnsi="仿宋_GB2312" w:eastAsia="仿宋_GB2312" w:cs="仿宋_GB2312"/>
          <w:kern w:val="0"/>
          <w:sz w:val="32"/>
          <w:szCs w:val="32"/>
        </w:rPr>
        <w:t>12.</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分包转包生产线、工房、库房组织生产经营</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13.</w:t>
      </w:r>
      <w:r>
        <w:rPr>
          <w:rFonts w:hint="eastAsia" w:ascii="仿宋_GB2312" w:hAnsi="仿宋_GB2312" w:eastAsia="仿宋_GB2312" w:cs="仿宋_GB2312"/>
          <w:kern w:val="0"/>
          <w:sz w:val="32"/>
          <w:szCs w:val="32"/>
          <w:lang w:val="en-US" w:eastAsia="zh-CN"/>
        </w:rPr>
        <w:t>是否在</w:t>
      </w:r>
      <w:r>
        <w:rPr>
          <w:rFonts w:hint="eastAsia" w:ascii="仿宋_GB2312" w:hAnsi="仿宋_GB2312" w:eastAsia="仿宋_GB2312" w:cs="仿宋_GB2312"/>
          <w:kern w:val="0"/>
          <w:sz w:val="32"/>
          <w:szCs w:val="32"/>
        </w:rPr>
        <w:t>许可证过期、整顿改造、恶劣天气等停产停业期间组织生产经营</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14.烟花爆竹仓库</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存放其它爆炸物等危险物品或者生产经营违禁超标产品</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15.烟花爆竹批发经营企业是否开展标准化达标创建</w:t>
      </w:r>
      <w:r>
        <w:rPr>
          <w:rFonts w:hint="eastAsia" w:cs="仿宋_GB2312"/>
          <w:kern w:val="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ind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16.烟花爆竹批发经营企业是否投保安责险。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、工贸行业</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主要负责人履职情况</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1.企业主要负责人依据《中华人民共和国安全生产法》《河北省安全生产条例》的规定履行法定职责情况。</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2.企业主要负责人依据《河北省工贸安全生产治本攻坚三年行动方案（2024-2026年）》的要求履行法定职责情况。</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kern w:val="2"/>
          <w:sz w:val="32"/>
          <w:szCs w:val="32"/>
          <w:lang w:val="en-US" w:eastAsia="zh-CN" w:bidi="ar-SA"/>
        </w:rPr>
        <w:t>3.企业主要负责人依据《河北省深化落实安全生产治本攻坚三年行动常态化开展隐患排查整治工作措施》的要求履行职责情况。</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）通用部分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未对承包单位、承租单位的安全生产工作统一协调、管理，或者未定期进行安全检查的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特种作业人员未按照规定经专门的安全作业培训并取得相应资格，上岗作业的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金属冶炼企业主要负责人、安全生产管理人员未按照规定经考核合格的。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）冶金企业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会议室、活动室、休息室、操作室、交接班室、更衣室（含澡堂）等6类人员聚集场所,以及钢铁水罐冷（热）修工位设置在铁水、钢水、液渣吊运跨的地坪区域内的</w:t>
      </w:r>
      <w:r>
        <w:rPr>
          <w:rFonts w:hint="eastAsia" w:ascii="仿宋_GB2312" w:hAnsi="仿宋_GB2312" w:eastAsia="仿宋_GB2312"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生产期间冶炼、精炼和铸造生产区域的事故坑、炉下渣坑，以及熔融金属泄漏和喷溅影响范围内的炉前平台、炉基区域、厂房内吊运和地面运输通道等6类区域存在积水的</w:t>
      </w:r>
      <w:r>
        <w:rPr>
          <w:rFonts w:hint="eastAsia" w:cs="仿宋_GB2312"/>
          <w:sz w:val="32"/>
          <w:szCs w:val="32"/>
          <w:lang w:eastAsia="zh-CN"/>
        </w:rPr>
        <w:t>。</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3.炼钢连铸流程未设置事故钢水罐、中间罐漏钢（槽）、中间罐溢流坑（槽）、漏钢回转溜槽，或者模铸流程未设置事故钢水罐（坑、槽）的。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4.转炉、电弧炉、AOD炉、LF炉、RH炉、VOD炉等炼钢炉的水冷元件未设置出水温度、进出水流量差等监测报警装置，或者监测报警装置未与炉体倾动、氧（副）枪自动提升、电极自动断电和升起装置联锁的。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5.高炉生产期间炉顶工作压力设定值超过设计文件规定的最高工作压力，或者炉顶工作压力监测装置未与炉顶放散阀联锁，或者炉顶放散阀的联锁放散压力设定值超过设备设计压力值的。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7.加热炉、煤气柜、除尘器、加压机、烘烤器等设施，以及进入车间前的煤气管道未安装隔断装置的。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8.正压煤气输配管线水封式排水器的最高封堵煤气压力小于30kPa，或者同一煤气管道隔断装置的两侧共用一个排水器，</w:t>
      </w:r>
      <w:r>
        <w:rPr>
          <w:rFonts w:hint="eastAsia" w:ascii="仿宋_GB2312" w:hAnsi="仿宋_GB2312" w:eastAsia="仿宋_GB2312" w:cs="仿宋_GB2312"/>
          <w:sz w:val="32"/>
          <w:szCs w:val="32"/>
        </w:rPr>
        <w:t>或者不同煤气管道排水器上部的排水管连通，或者不同介质的煤气管道共用一个排水器的。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）建材企业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煤磨袋式收尘器、煤粉仓未设置温度和固定式一氧化碳浓度监测报警装置，或者未设置气体灭火装置的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筒型储库人工清库作业未落实清库方案中防止高处坠落、坍塌等安全措施的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水泥企业电石渣原料筒型储库未设置固定式可燃气体浓度监测报警装置，或者监测报警装置未与事故通风装置联锁的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入筒型储库、焙烧窑、预热器旋风筒、分解炉、竖炉、篦冷机、磨机、破碎机前，未对可能意外启动的设备和涌入的物料、高温气体、有毒有害气体等采取隔离措施，或者未落实防止高处坠落、坍塌等安全措施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采用预混燃烧方式的燃气窑炉（热发生炉煤气窑炉除外）的燃气总管未设置管道压力监测报警装置，或者监测报警装置未与紧急自动切断装置联锁的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制氢站、氮氢保护气体配气间、燃气配气间等3类场所未设置固定式可燃气体浓度监测报警装置的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电熔制品电炉的水冷设备失效的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玻璃窑炉、玻璃锡槽等设备未设置水冷和风冷保护系统的监测报警装置的。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default" w:ascii="楷体_GB2312" w:hAnsi="楷体_GB2312" w:eastAsia="楷体_GB2312" w:cs="楷体_GB2312"/>
          <w:b/>
          <w:bCs w:val="0"/>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rPr>
        <w:t>）机械企业</w:t>
      </w:r>
      <w:r>
        <w:rPr>
          <w:rFonts w:hint="eastAsia" w:ascii="楷体_GB2312" w:hAnsi="楷体_GB2312" w:eastAsia="楷体_GB2312" w:cs="楷体_GB2312"/>
          <w:b w:val="0"/>
          <w:bCs/>
          <w:sz w:val="32"/>
          <w:szCs w:val="32"/>
          <w:lang w:val="en-US" w:eastAsia="zh-CN"/>
        </w:rPr>
        <w:t>重点执法检查事项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会议室、活动室、休息室、更衣室、交接班室等5类人员聚集场所设置在熔融金属吊运跨或者浇注跨的地坪区域内的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铸造用熔炼炉、精炼炉、保温炉未设置紧急排放和应急储存设施的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生产期间铸造用熔炼炉、精炼炉、保温炉的炉底、炉坑和事故坑，以及熔融金属泄漏、喷溅影响范围内的炉前平台、炉基区域、造型地坑、浇注作业坑和熔融金属转运通道等8类区域存在积水的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铸造用熔炼炉、精炼炉、压铸机、氧枪的冷却水系统未设置出水温度、进出水流量差监测报警装置，或者监测报警装置未与熔融金属加热、输送控制系统联锁的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使用煤气（天然气）的燃烧装置的燃气总管未设置管道压力监测报警装置，或者监测报警装置未与紧急自动切断装置联锁，或者燃烧装置未设置火焰监测和熄火保护系统的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使用可燃性有机溶剂清洗设备设施、工装器具、地面时，未采取防止可燃气体在周边密闭或者半密闭空间内积聚措施的</w:t>
      </w:r>
      <w:r>
        <w:rPr>
          <w:rFonts w:hint="eastAsia" w:ascii="仿宋_GB2312" w:hAnsi="仿宋_GB2312" w:eastAsia="仿宋_GB2312"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使用非水性漆的调漆间、喷漆室未设置固定式可燃气体浓度监测报警装置或者通风设施的。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六</w:t>
      </w:r>
      <w:r>
        <w:rPr>
          <w:rFonts w:hint="eastAsia" w:ascii="楷体_GB2312" w:hAnsi="楷体_GB2312" w:eastAsia="楷体_GB2312" w:cs="楷体_GB2312"/>
          <w:b w:val="0"/>
          <w:bCs/>
          <w:sz w:val="32"/>
          <w:szCs w:val="32"/>
        </w:rPr>
        <w:t>）轻工企业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食品制造企业烘制、油炸设备未设置防过热自动切断装置的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白酒勾兑、灌装场所和酒库未设置固定式乙醇蒸气浓度监测报警装置，或者监测报警装置未与通风设施联锁的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纸浆制造、造纸企业使用蒸气、明火直接加热钢瓶汽化液氯的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日用玻璃、陶瓷制造企业采用预混燃烧方式的燃气窑炉（热发生炉煤气窑炉除外）的燃气总管未设置管道压力监测报警装置，或者监测报警装置未与紧急自动切断装置联锁的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日用玻璃制造企业玻璃窑炉的冷却保护系统未设置监测报警装置的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使用非水性漆的调漆间、喷漆室未设置固定式可燃气体浓度监测报警装置或者通风设施的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锂离子电池储存仓库未对故障电池采取有效物理隔离措施的。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七</w:t>
      </w:r>
      <w:r>
        <w:rPr>
          <w:rFonts w:hint="eastAsia" w:ascii="楷体_GB2312" w:hAnsi="楷体_GB2312" w:eastAsia="楷体_GB2312" w:cs="楷体_GB2312"/>
          <w:b w:val="0"/>
          <w:bCs/>
          <w:sz w:val="32"/>
          <w:szCs w:val="32"/>
        </w:rPr>
        <w:t>）纺织企业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cs="仿宋_GB2312"/>
          <w:sz w:val="32"/>
          <w:szCs w:val="32"/>
          <w:lang w:val="en-US" w:eastAsia="zh-CN"/>
        </w:rPr>
      </w:pPr>
      <w:r>
        <w:rPr>
          <w:rFonts w:hint="eastAsia" w:cs="仿宋_GB2312"/>
          <w:sz w:val="32"/>
          <w:szCs w:val="32"/>
          <w:lang w:val="en-US" w:eastAsia="zh-CN"/>
        </w:rPr>
        <w:t>1.纱、线、织物加工的烧毛、开幅、烘干等热定型工艺的汽化室、燃气贮罐、储油罐、热媒炉，未与生产加工等人员聚集场所隔开或者单独设置的。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保险粉、双氧水、次氯酸钠、亚氯酸钠、雕白粉（吊白块）与禁忌物料混合储存，或者保险粉储存场所未采取防水防潮措施的。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八</w:t>
      </w:r>
      <w:r>
        <w:rPr>
          <w:rFonts w:hint="eastAsia" w:ascii="楷体_GB2312" w:hAnsi="楷体_GB2312" w:eastAsia="楷体_GB2312" w:cs="楷体_GB2312"/>
          <w:b w:val="0"/>
          <w:bCs/>
          <w:sz w:val="32"/>
          <w:szCs w:val="32"/>
        </w:rPr>
        <w:t>）涉爆粉尘企业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粉尘爆炸危险场所设置在非框架结构的多层建(构)筑物内，或者粉尘爆炸危险场所内设有员工宿舍、会议室、办公室、休息室等人员聚集场所的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不同类别的可燃性粉尘、可燃性粉尘与可燃气体等易加剧爆炸危险的介质共用一套除尘系统，或者不同建（构）筑物、不同防火分区共用一套除尘系统、除尘系统互联互通的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干式除尘系统未采取泄爆、惰化、抑爆等任一种爆炸防控措施的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4.铝镁等金属粉尘除尘系统采用正压除尘方式，或者其他可燃性粉尘除尘系统采用正压吹送粉尘时，未采取火花探测消除等防范点燃源措施。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除尘系统采用重力沉降室除尘，或者采用干式巷道式构筑物作为除尘风道的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6.铝镁等金属粉尘、木质粉尘的干式除尘系统未设置锁气卸灰装置。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除尘器、收尘仓等划分为20区的粉尘爆炸危险场所电气设备不符合防爆要求的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粉碎、研磨、造粒等易产生机械点燃源的工艺设备前，未设置铁、石等杂物去除装置，或者木制品加工企业与砂光机连接的风管未设置火花探测消除装置的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遇湿自燃金属粉尘收集、堆放、储存场所未采取通风等防止氢气积聚措施，或者干式收集、堆放、储存场所未采取防水、防潮措施的</w:t>
      </w:r>
      <w:r>
        <w:rPr>
          <w:rFonts w:hint="eastAsia" w:cs="仿宋_GB2312"/>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cs="仿宋_GB2312"/>
          <w:bCs/>
          <w:sz w:val="32"/>
          <w:szCs w:val="32"/>
          <w:lang w:val="en-US" w:eastAsia="zh-CN"/>
        </w:rPr>
        <w:t>10</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未落实粉尘清理制度，造成作业现场积尘严重的。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九</w:t>
      </w:r>
      <w:r>
        <w:rPr>
          <w:rFonts w:hint="eastAsia" w:ascii="楷体_GB2312" w:hAnsi="楷体_GB2312" w:eastAsia="楷体_GB2312" w:cs="楷体_GB2312"/>
          <w:b w:val="0"/>
          <w:bCs/>
          <w:sz w:val="32"/>
          <w:szCs w:val="32"/>
        </w:rPr>
        <w:t>）液氨制冷企业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包装、分割、产品整理场所的空调系统采用氨直接蒸发制冷的</w:t>
      </w:r>
      <w:r>
        <w:rPr>
          <w:rFonts w:hint="eastAsia" w:cs="仿宋_GB2312"/>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快速冻结装置未设置在单独的作业间内，或者快速冻结装置作业间内作业人员数量超过9人的。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十</w:t>
      </w:r>
      <w:r>
        <w:rPr>
          <w:rFonts w:hint="eastAsia" w:ascii="楷体_GB2312" w:hAnsi="楷体_GB2312" w:eastAsia="楷体_GB2312" w:cs="楷体_GB2312"/>
          <w:b w:val="0"/>
          <w:bCs/>
          <w:sz w:val="32"/>
          <w:szCs w:val="32"/>
        </w:rPr>
        <w:t>）有限空间作业</w:t>
      </w:r>
      <w:r>
        <w:rPr>
          <w:rFonts w:hint="eastAsia" w:ascii="楷体_GB2312" w:hAnsi="楷体_GB2312" w:eastAsia="楷体_GB2312" w:cs="楷体_GB2312"/>
          <w:b w:val="0"/>
          <w:bCs w:val="0"/>
          <w:sz w:val="32"/>
          <w:szCs w:val="32"/>
          <w:lang w:val="en-US" w:eastAsia="zh-CN"/>
        </w:rPr>
        <w:t>重点执法检查事项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未对有限空间进行辨识、建立安全管理台账，并且未设置明显的安全警示标志的</w:t>
      </w:r>
      <w:r>
        <w:rPr>
          <w:rFonts w:hint="eastAsia" w:cs="仿宋_GB2312"/>
          <w:bCs/>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left"/>
        <w:textAlignment w:val="auto"/>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未落实有限空间作业审批，或者未执行“先通风、再检测、后作业”要求，或者作业现场未设置监护人员的。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、教育培训、安全评价检测检验机构</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应急救援重点监督检查事项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w:t>
      </w:r>
      <w:r>
        <w:rPr>
          <w:rFonts w:hint="eastAsia" w:ascii="楷体_GB2312" w:hAnsi="楷体_GB2312" w:eastAsia="楷体_GB2312" w:cs="楷体_GB2312"/>
          <w:bCs/>
          <w:kern w:val="0"/>
          <w:sz w:val="32"/>
          <w:szCs w:val="32"/>
          <w:lang w:val="en-US" w:eastAsia="zh-CN" w:bidi="ar-SA"/>
        </w:rPr>
        <w:t>教育培训机构重点检查内容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1.安全培训机构重点执法检查事项。</w:t>
      </w:r>
      <w:r>
        <w:rPr>
          <w:rFonts w:hint="eastAsia" w:ascii="仿宋_GB2312" w:hAnsi="仿宋_GB2312" w:eastAsia="仿宋_GB2312" w:cs="仿宋_GB2312"/>
          <w:sz w:val="32"/>
          <w:szCs w:val="32"/>
        </w:rPr>
        <w:t>按照《安全培训机构基本条件规范》地方标准核查管理人员配备是否符合要求；核查安全生产培训管理制度、岗位职责、考核机制是否健全；核查专（兼）职师资力量是否充足、是否配备注册安全工程师；核查固定培训场地及实训设施是否满足要求；是否存在未按照培训大纲培训；是否擅自压缩培训学时、讲解习题代替理论培训；是否存在实操实训流于形式等情况；是否存在安全生产培训档案不健全、建档不规范、要素不齐全甚至档案造假等情况；是否存在与考试机构和考试点勾结，</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举办“包过班”，</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参与考生作弊，</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倒卖安全生产资格（合格）证书，</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收取高价培训费用等情况。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2.安全考试机构和考试点重点执法检查事项。</w:t>
      </w:r>
      <w:r>
        <w:rPr>
          <w:rFonts w:hint="eastAsia" w:ascii="仿宋_GB2312" w:hAnsi="仿宋_GB2312" w:eastAsia="仿宋_GB2312" w:cs="仿宋_GB2312"/>
          <w:sz w:val="32"/>
          <w:szCs w:val="32"/>
        </w:rPr>
        <w:t>对照《河北省特种作业考试点建设项目审查验收标准》，核查是否存在考试管理制度不健全、理论和实操考试场地、设备不达标等不具备考试条件的情况；是否存在从事与所承担考试任务有关培训活动的情况；是否存在未严格按照考试计划组织实施考试的情况；是否存在完全以问答代替实操考试的情况；是否存在未安排监考、考评人员进行理论考试监考和实操考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考务人员违反考试纪律的情况；是否存在未进行考试全过程录像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录像资料未建立档案，考试数据采集格式不规范、信息不准确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考试档案造假的情况。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（二）安全评价检测检验机构重点检查内容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1.机构管理方面重点执法检查事项。</w:t>
      </w:r>
      <w:r>
        <w:rPr>
          <w:rFonts w:hint="eastAsia" w:ascii="仿宋_GB2312" w:hAnsi="仿宋_GB2312" w:eastAsia="仿宋_GB2312" w:cs="仿宋_GB2312"/>
          <w:sz w:val="32"/>
          <w:szCs w:val="32"/>
        </w:rPr>
        <w:t>是否存在超资质范围进行安全评价或安全生产检测检验活动和转让出（租）借资格证书的情况；是否存在转包评价和检测检验项目的情况；机构网站是否能正常运行，是否公开机构信息、公示技术服务收费标准；是否与委托方签订技术服务合同，技术服务合同是否明确服务对象、范围、权利、义务和责任的；是否在开展现场技术服务前七个工作日内，书面告知项目实施地资质认可机关；机构开展技术服务时，是否如实记录过程控制、现场勘验和检测检验的情况，并与现场图像影像等证明资料一并及时归档；是否按规定公开安全评价报告、安全生产检测检验报告相关信息及现场勘验图像影像资料；是否存在违反法规标准规定更改或者简化安全评价、检测检验程序和相关内容的情况；是否存在不按照有关法律、法规、规章和最新的国家标准、行业标准、地方标准从事技术服务活动的情况；机构名称、注册地址、实验室条件、法定代表人、专职技术负责人、授权签字人发生变化之日起三十日内是否向原资质认可机关提出变更申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2.人员执业方面重点执法检查事项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是否存在专职安全评价师、专业技术人员同时在两个以上安全评价检测检验机构从业的情况；是否存在冒用他人名义或者允许他人冒用本人名义在安全评价、检测检验报告和原始记录中签名的情况；安全评价项目组组长是否具有与业务相关的二级以上安全评价师资格，并在本行业领域工作三年以上的；项目组组成人员配备是否符合安全评价项目专职安全评价师专业能力配备标准；安全评价项目组组长及负责勘验人员是否不到现场实际地点开展勘验等有关工作；承担现场检测检验的人员是否不到现场实际地点开展设备检测检验等有关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3.技术报告方面重点执法检查事项。</w:t>
      </w:r>
      <w:r>
        <w:rPr>
          <w:rFonts w:hint="eastAsia" w:ascii="仿宋_GB2312" w:hAnsi="仿宋_GB2312" w:eastAsia="仿宋_GB2312" w:cs="仿宋_GB2312"/>
          <w:sz w:val="32"/>
          <w:szCs w:val="32"/>
        </w:rPr>
        <w:t>安全评价报告是否存在法规标准引用错误、关键危险有害因素漏项、重大危险源辨识错误、对策措施建议与存在问题严重不符等情况；安全评价报告中是否存在周边环境与评价期间实际情况不符，且不符合安全生产法律法规、标准规范，故意隐瞒的情况；安全评价报告中是否存在主要建（构）筑物与评价期间实际严重不符，主要生产装置、储存设施、建（构）筑物之间的距离不符合有关标准的规定，故意隐瞒且影响评价结论的情况；安全评价报告中是否存在不符合行业安全生产许可证实施办法规定的安全生产条件项，故意隐瞒且影响评价结论的情况；安全生产检测检验报告是否存在法规标准引用错误、关键项目漏检、结论不明确等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bCs/>
          <w:kern w:val="0"/>
          <w:sz w:val="32"/>
          <w:szCs w:val="32"/>
        </w:rPr>
      </w:pPr>
      <w:r>
        <w:rPr>
          <w:rFonts w:hint="eastAsia" w:cs="仿宋_GB2312"/>
          <w:b/>
          <w:bCs/>
          <w:kern w:val="0"/>
          <w:sz w:val="32"/>
          <w:szCs w:val="32"/>
          <w:lang w:eastAsia="zh-CN"/>
        </w:rPr>
        <w:t>（</w:t>
      </w:r>
      <w:r>
        <w:rPr>
          <w:rFonts w:hint="eastAsia" w:cs="仿宋_GB2312"/>
          <w:b/>
          <w:bCs/>
          <w:kern w:val="0"/>
          <w:sz w:val="32"/>
          <w:szCs w:val="32"/>
          <w:lang w:val="en-US" w:eastAsia="zh-CN"/>
        </w:rPr>
        <w:t>三</w:t>
      </w:r>
      <w:r>
        <w:rPr>
          <w:rFonts w:hint="eastAsia" w:cs="仿宋_GB2312"/>
          <w:b/>
          <w:bCs/>
          <w:kern w:val="0"/>
          <w:sz w:val="32"/>
          <w:szCs w:val="32"/>
          <w:lang w:eastAsia="zh-CN"/>
        </w:rPr>
        <w:t>）</w:t>
      </w:r>
      <w:r>
        <w:rPr>
          <w:rFonts w:hint="eastAsia" w:ascii="仿宋_GB2312" w:hAnsi="仿宋_GB2312" w:eastAsia="仿宋_GB2312" w:cs="仿宋_GB2312"/>
          <w:b/>
          <w:bCs/>
          <w:kern w:val="0"/>
          <w:sz w:val="32"/>
          <w:szCs w:val="32"/>
        </w:rPr>
        <w:t>应急救援</w:t>
      </w:r>
      <w:r>
        <w:rPr>
          <w:rFonts w:hint="eastAsia" w:ascii="仿宋_GB2312" w:hAnsi="仿宋_GB2312" w:eastAsia="仿宋_GB2312" w:cs="仿宋_GB2312"/>
          <w:b/>
          <w:kern w:val="0"/>
          <w:sz w:val="32"/>
          <w:szCs w:val="32"/>
        </w:rPr>
        <w:t>重点检查内容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cs="仿宋_GB2312"/>
          <w:bCs/>
          <w:sz w:val="32"/>
          <w:szCs w:val="32"/>
          <w:lang w:val="en-US" w:eastAsia="zh-CN"/>
        </w:rPr>
        <w:t>1.</w:t>
      </w:r>
      <w:r>
        <w:rPr>
          <w:rFonts w:hint="eastAsia" w:ascii="仿宋_GB2312" w:hAnsi="仿宋_GB2312" w:eastAsia="仿宋_GB2312" w:cs="仿宋_GB2312"/>
          <w:bCs/>
          <w:sz w:val="32"/>
          <w:szCs w:val="32"/>
        </w:rPr>
        <w:t>应急预案重点执法检查事项。</w:t>
      </w:r>
      <w:r>
        <w:rPr>
          <w:rFonts w:hint="eastAsia" w:ascii="仿宋_GB2312" w:hAnsi="仿宋_GB2312" w:eastAsia="仿宋_GB2312" w:cs="仿宋_GB2312"/>
          <w:b w:val="0"/>
          <w:bCs w:val="0"/>
          <w:color w:val="000000"/>
          <w:sz w:val="32"/>
          <w:szCs w:val="32"/>
        </w:rPr>
        <w:t>主要负责人是否履行组织编制和实施本单位应急预案职责，各分管负责人是否按照职责分工落实应急预案规定的职责；预案编制前是否开展风险评估和应急资源调查，预案发布前是否进行论证或评审，应急预案是否按要求向有关部门备案，是否定期开展应急预案评估、修订；应急预案中人员的职责分工，应急程序和处置措施与本企业应急能力是否适应；企业应急预案体系之间，以及与地方政府及其部门、应急救援队伍和涉及的其他单位应急预案是否相衔接；生产经营单位是否组织开展本单位的应急预案、应急知识、自救互救和避险逃生技能的培训活动，使有关人员了解应急预案内容，熟悉应急职责、应急处置程序和措施；生产经营单位是否将应急培训的时间、地点、内容、师资、参加人员和考核结果等情况如实记入本单位的安全生产教育和培训档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cs="仿宋_GB2312"/>
          <w:bCs/>
          <w:sz w:val="32"/>
          <w:szCs w:val="32"/>
          <w:lang w:val="en-US" w:eastAsia="zh-CN"/>
        </w:rPr>
        <w:t>2.</w:t>
      </w:r>
      <w:r>
        <w:rPr>
          <w:rFonts w:hint="eastAsia" w:ascii="仿宋_GB2312" w:hAnsi="仿宋_GB2312" w:eastAsia="仿宋_GB2312" w:cs="仿宋_GB2312"/>
          <w:bCs/>
          <w:sz w:val="32"/>
          <w:szCs w:val="32"/>
        </w:rPr>
        <w:t>应急演练重点执法检查事项。</w:t>
      </w:r>
      <w:r>
        <w:rPr>
          <w:rFonts w:hint="eastAsia" w:ascii="仿宋_GB2312" w:hAnsi="仿宋_GB2312" w:eastAsia="仿宋_GB2312" w:cs="仿宋_GB2312"/>
          <w:b w:val="0"/>
          <w:bCs w:val="0"/>
          <w:color w:val="000000"/>
          <w:sz w:val="32"/>
          <w:szCs w:val="32"/>
        </w:rPr>
        <w:t>是否按规定制定年度应急演练计划；综合应急预案、专项应急预案是否按规定每年至少演练一次，现场处置方案每半年至少演练一次；是否对应急演练进行书面评估总结；易燃易爆物品、危险化学品等危险物品的生产、经营、储存、运输单位，矿山、金属冶炼、城市轨道交通运营、建筑施工单位，以及宾馆、商场、娱乐场所、旅游景区等人员密集场所经营单位，是否至少每半年组织一次生产安全事故应急预案演练，并将演练情况报送所在地县级以上地方人民政府负有安全生产监督管理职责的部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cs="仿宋_GB2312"/>
          <w:bCs/>
          <w:sz w:val="32"/>
          <w:szCs w:val="32"/>
          <w:lang w:val="en-US" w:eastAsia="zh-CN"/>
        </w:rPr>
        <w:t>3.</w:t>
      </w:r>
      <w:r>
        <w:rPr>
          <w:rFonts w:hint="eastAsia" w:ascii="仿宋_GB2312" w:hAnsi="仿宋_GB2312" w:eastAsia="仿宋_GB2312" w:cs="仿宋_GB2312"/>
          <w:bCs/>
          <w:sz w:val="32"/>
          <w:szCs w:val="32"/>
        </w:rPr>
        <w:t>应急救援队伍重点执法检查事项。</w:t>
      </w:r>
      <w:r>
        <w:rPr>
          <w:rFonts w:hint="eastAsia" w:ascii="仿宋_GB2312" w:hAnsi="仿宋_GB2312" w:eastAsia="仿宋_GB2312" w:cs="仿宋_GB2312"/>
          <w:b w:val="0"/>
          <w:bCs w:val="0"/>
          <w:color w:val="000000"/>
          <w:sz w:val="32"/>
          <w:szCs w:val="32"/>
        </w:rPr>
        <w:t>是否按规定建立专（兼）职应急救援队伍；生产规模较小未建立应急救援队伍的是否指定兼职的应急救援人员，是否与邻近救援队伍签订救援协议。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cs="仿宋_GB2312"/>
          <w:bCs/>
          <w:sz w:val="32"/>
          <w:szCs w:val="32"/>
          <w:lang w:val="en-US" w:eastAsia="zh-CN"/>
        </w:rPr>
        <w:t>4.</w:t>
      </w:r>
      <w:r>
        <w:rPr>
          <w:rFonts w:hint="eastAsia" w:ascii="仿宋_GB2312" w:hAnsi="仿宋_GB2312" w:eastAsia="仿宋_GB2312" w:cs="仿宋_GB2312"/>
          <w:bCs/>
          <w:sz w:val="32"/>
          <w:szCs w:val="32"/>
          <w:lang w:val="en-US" w:eastAsia="zh-CN"/>
        </w:rPr>
        <w:t>应急救援装备及物资管理重点执法检查事项。</w:t>
      </w:r>
      <w:r>
        <w:rPr>
          <w:rFonts w:hint="eastAsia" w:ascii="仿宋_GB2312" w:hAnsi="仿宋_GB2312" w:eastAsia="仿宋_GB2312" w:cs="仿宋_GB2312"/>
          <w:b w:val="0"/>
          <w:bCs w:val="0"/>
          <w:color w:val="000000"/>
          <w:sz w:val="32"/>
          <w:szCs w:val="32"/>
        </w:rPr>
        <w:t>是否按规定配备应急救援器材、设备和物资；是否建立应急救援器材台账和应急救援物资储备台账，台账是否与实物相符；应急救援器材是否定期检测，是否建立维护保养记录，各种应急救援设备、设施是否处于良好状态；重点岗位工作人员是否会正确使用应急救援器材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r>
        <w:rPr>
          <w:rFonts w:hint="eastAsia" w:cs="仿宋_GB2312"/>
          <w:bCs/>
          <w:sz w:val="32"/>
          <w:szCs w:val="32"/>
          <w:lang w:val="en-US" w:eastAsia="zh-CN"/>
        </w:rPr>
        <w:t>5.</w:t>
      </w:r>
      <w:r>
        <w:rPr>
          <w:rFonts w:hint="eastAsia" w:ascii="仿宋_GB2312" w:hAnsi="仿宋_GB2312" w:eastAsia="仿宋_GB2312" w:cs="仿宋_GB2312"/>
          <w:bCs/>
          <w:sz w:val="32"/>
          <w:szCs w:val="32"/>
          <w:lang w:val="en-US" w:eastAsia="zh-CN"/>
        </w:rPr>
        <w:t>应急救援开展重点执法检查事项。</w:t>
      </w:r>
      <w:r>
        <w:rPr>
          <w:rFonts w:hint="eastAsia" w:ascii="仿宋_GB2312" w:hAnsi="仿宋_GB2312" w:eastAsia="仿宋_GB2312" w:cs="仿宋_GB2312"/>
          <w:b w:val="0"/>
          <w:bCs w:val="0"/>
          <w:color w:val="000000"/>
          <w:sz w:val="32"/>
          <w:szCs w:val="32"/>
        </w:rPr>
        <w:t>事故风险可能影响周边单位、人员的，是否将事故风险的性质、影响范围和应急防范措施告知了周边单位和人员；在本单位发生生产安全事故后，是否立即采取相应的应急救援措施，主要负责人是否立即组织抢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pStyle w:val="16"/>
        <w:rPr>
          <w:rFonts w:hint="eastAsia" w:ascii="仿宋_GB2312" w:hAnsi="仿宋_GB2312" w:eastAsia="仿宋_GB2312" w:cs="仿宋_GB2312"/>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年度监督检查重点企业名单</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（共1</w:t>
      </w:r>
      <w:r>
        <w:rPr>
          <w:rFonts w:hint="eastAsia" w:ascii="方正小标宋简体" w:hAnsi="方正小标宋简体" w:eastAsia="方正小标宋简体" w:cs="方正小标宋简体"/>
          <w:bCs/>
          <w:sz w:val="44"/>
          <w:szCs w:val="44"/>
          <w:lang w:val="en-US" w:eastAsia="zh-CN"/>
        </w:rPr>
        <w:t>18</w:t>
      </w:r>
      <w:r>
        <w:rPr>
          <w:rFonts w:hint="eastAsia" w:ascii="方正小标宋简体" w:hAnsi="方正小标宋简体" w:eastAsia="方正小标宋简体" w:cs="方正小标宋简体"/>
          <w:bCs/>
          <w:sz w:val="44"/>
          <w:szCs w:val="44"/>
        </w:rPr>
        <w:t>家、处）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adjustRightInd w:val="0"/>
        <w:snapToGrid w:val="0"/>
        <w:spacing w:line="560" w:lineRule="exact"/>
        <w:jc w:val="both"/>
        <w:rPr>
          <w:rFonts w:hint="eastAsia" w:ascii="仿宋_GB2312" w:hAnsi="仿宋_GB2312" w:eastAsia="仿宋_GB2312" w:cs="仿宋_GB2312"/>
          <w:sz w:val="32"/>
          <w:szCs w:val="32"/>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执法一中队（</w:t>
      </w:r>
      <w:r>
        <w:rPr>
          <w:rFonts w:hint="eastAsia" w:ascii="黑体" w:hAnsi="黑体" w:eastAsia="黑体" w:cs="黑体"/>
          <w:sz w:val="32"/>
          <w:szCs w:val="32"/>
          <w:lang w:val="en-US" w:eastAsia="zh-CN"/>
        </w:rPr>
        <w:t>31</w:t>
      </w:r>
      <w:r>
        <w:rPr>
          <w:rFonts w:hint="eastAsia" w:ascii="黑体" w:hAnsi="黑体" w:eastAsia="黑体" w:cs="黑体"/>
          <w:sz w:val="32"/>
          <w:szCs w:val="32"/>
        </w:rPr>
        <w:t>家、处）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1.昌黎吉泰板业有限公司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2.秦皇岛顺先钢铁有限公司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3.昌黎县天源水泥厂</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4.秦皇岛奥华玻璃有限公司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5.秦皇岛砼构新型建材有限公司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6.河北安丰集团天创冷轧有限公司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7.昌黎县隆旭加油点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8.昌黎县荣建加油点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9.昌黎县财达加油站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10.昌黎县世博加油站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11.昌黎县顺广加油站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12.昌黎县朋坤加油点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13.昌黎县红星加油站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14.昌黎县富润加油点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15.昌黎县旭昶加油站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16.昌黎县润鑫加油点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17.昌黎县途悦加油站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18.昌黎县油发加油站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19.昌黎县启坤加油站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20.昌黎县财致加油点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21.昌黎县文乐加油站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22.昌黎县顺开加油站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23.昌黎县金海加油站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24.昌黎县便民石油产品销售有限公司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25.昌黎县军英加油站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26.昌黎县昌乐加油站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27.昌黎县郑通加油站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28.昌黎县安宏金气体经销站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29.昌黎县洪祥工业氧气站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30.昌黎聚丰化工产品有限公司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31.昌黎县华成矿业有限责任公司</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执法二中队（3</w:t>
      </w:r>
      <w:r>
        <w:rPr>
          <w:rFonts w:hint="eastAsia" w:ascii="黑体" w:hAnsi="黑体" w:eastAsia="黑体" w:cs="黑体"/>
          <w:sz w:val="32"/>
          <w:szCs w:val="32"/>
          <w:lang w:val="en-US" w:eastAsia="zh-CN"/>
        </w:rPr>
        <w:t>9</w:t>
      </w:r>
      <w:r>
        <w:rPr>
          <w:rFonts w:hint="eastAsia" w:ascii="黑体" w:hAnsi="黑体" w:eastAsia="黑体" w:cs="黑体"/>
          <w:sz w:val="32"/>
          <w:szCs w:val="32"/>
        </w:rPr>
        <w:t>家、处）</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1.昌黎县金丰气体有限公司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2.秦皇岛原野环保科技有限公司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3.昌黎县秦硕石油制品销售有限公司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4.昌黎县路通加油站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5.昌黎县华骞加油站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6.昌黎县致远加油站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7.昌黎县亚龙加油站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8.昌黎县中锦加油站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9.昌黎县兴万加油站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10.昌黎县志新加油站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11.昌黎县靖安镇赵各庄绍江加油站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12.昌黎县马坨店乡农机服务站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13.昌黎县昌飞加油站有限公司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14.昌黎县昌宏加油站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15.秦皇岛中轻金麦实业有限公司加油站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16.昌黎县宏兴加油站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17.昌黎县吉丰石油有限公司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18.昌黎县联友加油加气站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19.昌黎县强勇加油加气站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20.昌黎县科航加油点</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21.昌黎县信达加油站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22.昌黎县金环路加油站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23.昌黎县君达加油站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24.昌黎县旭驰加油站有限公司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25.昌黎县宏大加油站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26.昌黎县中科奥石油产品有限公司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27.昌黎茹荷海静加油站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28.昌黎光明加油站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29.昌黎县永辉加油站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30.昌黎县龙家店亚松加油站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31.秦皇岛界鼎石油销售有限公司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32.秦皇岛高路瑞元鑫城石油化工有限公司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33.昌黎县畅通石油有限公司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34.秦皇岛跃泰石化产品有限公司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35.河北安丰钢铁集团有限公司（危险化学品储存经营项目）</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36.秦皇岛顺先钢铁有限公司（制氧储存经营项目）</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37.昌黎县先永加油站</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38.昌黎惠冀再生能源利用有限公司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39.秦皇岛华瑞煤焦化工有限公司</w:t>
      </w:r>
    </w:p>
    <w:p>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三、执法</w:t>
      </w:r>
      <w:r>
        <w:rPr>
          <w:rFonts w:hint="eastAsia" w:ascii="黑体" w:hAnsi="黑体" w:eastAsia="黑体" w:cs="黑体"/>
          <w:sz w:val="32"/>
          <w:szCs w:val="32"/>
          <w:lang w:val="en-US" w:eastAsia="zh-CN"/>
        </w:rPr>
        <w:t>三</w:t>
      </w:r>
      <w:r>
        <w:rPr>
          <w:rFonts w:hint="eastAsia" w:ascii="黑体" w:hAnsi="黑体" w:eastAsia="黑体" w:cs="黑体"/>
          <w:sz w:val="32"/>
          <w:szCs w:val="32"/>
        </w:rPr>
        <w:t>中队（</w:t>
      </w:r>
      <w:r>
        <w:rPr>
          <w:rFonts w:hint="eastAsia" w:ascii="黑体" w:hAnsi="黑体" w:eastAsia="黑体" w:cs="黑体"/>
          <w:sz w:val="32"/>
          <w:szCs w:val="32"/>
          <w:lang w:val="en-US" w:eastAsia="zh-CN"/>
        </w:rPr>
        <w:t>48</w:t>
      </w:r>
      <w:r>
        <w:rPr>
          <w:rFonts w:hint="eastAsia" w:ascii="黑体" w:hAnsi="黑体" w:eastAsia="黑体" w:cs="黑体"/>
          <w:sz w:val="32"/>
          <w:szCs w:val="32"/>
        </w:rPr>
        <w:t>家、处）</w:t>
      </w:r>
    </w:p>
    <w:p>
      <w:pPr>
        <w:rPr>
          <w:rFonts w:hint="eastAsia"/>
        </w:rPr>
      </w:pPr>
      <w:r>
        <w:rPr>
          <w:rFonts w:hint="eastAsia"/>
        </w:rPr>
        <w:t>1</w:t>
      </w:r>
      <w:r>
        <w:rPr>
          <w:rFonts w:hint="eastAsia"/>
          <w:lang w:val="en-US" w:eastAsia="zh-CN"/>
        </w:rPr>
        <w:t>.</w:t>
      </w:r>
      <w:r>
        <w:rPr>
          <w:rFonts w:hint="eastAsia"/>
        </w:rPr>
        <w:tab/>
      </w:r>
      <w:r>
        <w:rPr>
          <w:rFonts w:hint="eastAsia"/>
        </w:rPr>
        <w:t>昌黎三金粉丝厂</w:t>
      </w:r>
    </w:p>
    <w:p>
      <w:pPr>
        <w:rPr>
          <w:rFonts w:hint="eastAsia"/>
        </w:rPr>
      </w:pPr>
      <w:r>
        <w:rPr>
          <w:rFonts w:hint="eastAsia"/>
        </w:rPr>
        <w:t>2</w:t>
      </w:r>
      <w:r>
        <w:rPr>
          <w:rFonts w:hint="eastAsia"/>
          <w:lang w:val="en-US" w:eastAsia="zh-CN"/>
        </w:rPr>
        <w:t>.</w:t>
      </w:r>
      <w:r>
        <w:rPr>
          <w:rFonts w:hint="eastAsia"/>
        </w:rPr>
        <w:tab/>
      </w:r>
      <w:r>
        <w:rPr>
          <w:rFonts w:hint="eastAsia"/>
        </w:rPr>
        <w:t>昌黎县安达粉丝厂</w:t>
      </w:r>
    </w:p>
    <w:p>
      <w:pPr>
        <w:rPr>
          <w:rFonts w:hint="eastAsia"/>
        </w:rPr>
      </w:pPr>
      <w:r>
        <w:rPr>
          <w:rFonts w:hint="eastAsia"/>
        </w:rPr>
        <w:t>3</w:t>
      </w:r>
      <w:r>
        <w:rPr>
          <w:rFonts w:hint="eastAsia"/>
          <w:lang w:val="en-US" w:eastAsia="zh-CN"/>
        </w:rPr>
        <w:t>.</w:t>
      </w:r>
      <w:r>
        <w:rPr>
          <w:rFonts w:hint="eastAsia"/>
        </w:rPr>
        <w:tab/>
      </w:r>
      <w:r>
        <w:rPr>
          <w:rFonts w:hint="eastAsia"/>
        </w:rPr>
        <w:t>昌黎县宽福粉丝厂</w:t>
      </w:r>
    </w:p>
    <w:p>
      <w:pPr>
        <w:rPr>
          <w:rFonts w:hint="eastAsia"/>
        </w:rPr>
      </w:pPr>
      <w:r>
        <w:rPr>
          <w:rFonts w:hint="eastAsia"/>
        </w:rPr>
        <w:t>4</w:t>
      </w:r>
      <w:r>
        <w:rPr>
          <w:rFonts w:hint="eastAsia"/>
          <w:lang w:val="en-US" w:eastAsia="zh-CN"/>
        </w:rPr>
        <w:t>.</w:t>
      </w:r>
      <w:r>
        <w:rPr>
          <w:rFonts w:hint="eastAsia"/>
        </w:rPr>
        <w:tab/>
      </w:r>
      <w:r>
        <w:rPr>
          <w:rFonts w:hint="eastAsia"/>
        </w:rPr>
        <w:t>昌黎县利仁粉丝厂</w:t>
      </w:r>
    </w:p>
    <w:p>
      <w:pPr>
        <w:rPr>
          <w:rFonts w:hint="eastAsia"/>
        </w:rPr>
      </w:pPr>
      <w:r>
        <w:rPr>
          <w:rFonts w:hint="eastAsia"/>
        </w:rPr>
        <w:t>5</w:t>
      </w:r>
      <w:r>
        <w:rPr>
          <w:rFonts w:hint="eastAsia"/>
          <w:lang w:val="en-US" w:eastAsia="zh-CN"/>
        </w:rPr>
        <w:t>.</w:t>
      </w:r>
      <w:r>
        <w:rPr>
          <w:rFonts w:hint="eastAsia"/>
        </w:rPr>
        <w:tab/>
      </w:r>
      <w:r>
        <w:rPr>
          <w:rFonts w:hint="eastAsia"/>
        </w:rPr>
        <w:t>昌黎县曙光粉条厂</w:t>
      </w:r>
    </w:p>
    <w:p>
      <w:pPr>
        <w:rPr>
          <w:rFonts w:hint="eastAsia"/>
        </w:rPr>
      </w:pPr>
      <w:r>
        <w:rPr>
          <w:rFonts w:hint="eastAsia"/>
        </w:rPr>
        <w:t>6</w:t>
      </w:r>
      <w:r>
        <w:rPr>
          <w:rFonts w:hint="eastAsia"/>
          <w:lang w:val="en-US" w:eastAsia="zh-CN"/>
        </w:rPr>
        <w:t>.</w:t>
      </w:r>
      <w:r>
        <w:rPr>
          <w:rFonts w:hint="eastAsia"/>
        </w:rPr>
        <w:tab/>
      </w:r>
      <w:r>
        <w:rPr>
          <w:rFonts w:hint="eastAsia"/>
        </w:rPr>
        <w:t>昌黎县联盛食品有限公司</w:t>
      </w:r>
    </w:p>
    <w:p>
      <w:pPr>
        <w:rPr>
          <w:rFonts w:hint="eastAsia"/>
        </w:rPr>
      </w:pPr>
      <w:r>
        <w:rPr>
          <w:rFonts w:hint="eastAsia"/>
        </w:rPr>
        <w:t>7</w:t>
      </w:r>
      <w:r>
        <w:rPr>
          <w:rFonts w:hint="eastAsia"/>
          <w:lang w:val="en-US" w:eastAsia="zh-CN"/>
        </w:rPr>
        <w:t>.</w:t>
      </w:r>
      <w:r>
        <w:rPr>
          <w:rFonts w:hint="eastAsia"/>
        </w:rPr>
        <w:tab/>
      </w:r>
      <w:r>
        <w:rPr>
          <w:rFonts w:hint="eastAsia"/>
        </w:rPr>
        <w:t>昌黎县神龙食品有限责任公司</w:t>
      </w:r>
    </w:p>
    <w:p>
      <w:pPr>
        <w:rPr>
          <w:rFonts w:hint="eastAsia"/>
        </w:rPr>
      </w:pPr>
      <w:r>
        <w:rPr>
          <w:rFonts w:hint="eastAsia"/>
        </w:rPr>
        <w:t>8</w:t>
      </w:r>
      <w:r>
        <w:rPr>
          <w:rFonts w:hint="eastAsia"/>
          <w:lang w:val="en-US" w:eastAsia="zh-CN"/>
        </w:rPr>
        <w:t>.</w:t>
      </w:r>
      <w:r>
        <w:rPr>
          <w:rFonts w:hint="eastAsia"/>
        </w:rPr>
        <w:tab/>
      </w:r>
      <w:r>
        <w:rPr>
          <w:rFonts w:hint="eastAsia"/>
        </w:rPr>
        <w:t>昌黎县腾达食品有限责任公司</w:t>
      </w:r>
    </w:p>
    <w:p>
      <w:pPr>
        <w:rPr>
          <w:rFonts w:hint="eastAsia"/>
        </w:rPr>
      </w:pPr>
      <w:r>
        <w:rPr>
          <w:rFonts w:hint="eastAsia"/>
        </w:rPr>
        <w:t>9</w:t>
      </w:r>
      <w:r>
        <w:rPr>
          <w:rFonts w:hint="eastAsia"/>
          <w:lang w:val="en-US" w:eastAsia="zh-CN"/>
        </w:rPr>
        <w:t>.</w:t>
      </w:r>
      <w:r>
        <w:rPr>
          <w:rFonts w:hint="eastAsia"/>
        </w:rPr>
        <w:tab/>
      </w:r>
      <w:r>
        <w:rPr>
          <w:rFonts w:hint="eastAsia"/>
        </w:rPr>
        <w:t>昌黎县英才食品有限责任公司</w:t>
      </w:r>
    </w:p>
    <w:p>
      <w:pPr>
        <w:rPr>
          <w:rFonts w:hint="eastAsia"/>
        </w:rPr>
      </w:pPr>
      <w:r>
        <w:rPr>
          <w:rFonts w:hint="eastAsia"/>
        </w:rPr>
        <w:t>10</w:t>
      </w:r>
      <w:r>
        <w:rPr>
          <w:rFonts w:hint="eastAsia"/>
          <w:lang w:val="en-US" w:eastAsia="zh-CN"/>
        </w:rPr>
        <w:t>.</w:t>
      </w:r>
      <w:r>
        <w:rPr>
          <w:rFonts w:hint="eastAsia"/>
        </w:rPr>
        <w:t>河北顶大食品有限公司（含工业园区）</w:t>
      </w:r>
    </w:p>
    <w:p>
      <w:pPr>
        <w:rPr>
          <w:rFonts w:hint="eastAsia"/>
        </w:rPr>
      </w:pPr>
      <w:r>
        <w:rPr>
          <w:rFonts w:hint="eastAsia"/>
        </w:rPr>
        <w:t>11</w:t>
      </w:r>
      <w:r>
        <w:rPr>
          <w:rFonts w:hint="eastAsia"/>
          <w:lang w:val="en-US" w:eastAsia="zh-CN"/>
        </w:rPr>
        <w:t>.</w:t>
      </w:r>
      <w:r>
        <w:rPr>
          <w:rFonts w:hint="eastAsia"/>
        </w:rPr>
        <w:t>河北面哥食品有限公司</w:t>
      </w:r>
    </w:p>
    <w:p>
      <w:pPr>
        <w:rPr>
          <w:rFonts w:hint="eastAsia"/>
        </w:rPr>
      </w:pPr>
      <w:r>
        <w:rPr>
          <w:rFonts w:hint="eastAsia"/>
        </w:rPr>
        <w:t>12</w:t>
      </w:r>
      <w:r>
        <w:rPr>
          <w:rFonts w:hint="eastAsia"/>
          <w:lang w:val="en-US" w:eastAsia="zh-CN"/>
        </w:rPr>
        <w:t>.</w:t>
      </w:r>
      <w:r>
        <w:rPr>
          <w:rFonts w:hint="eastAsia"/>
        </w:rPr>
        <w:t>昌黎县昌兴纸业有限公司</w:t>
      </w:r>
    </w:p>
    <w:p>
      <w:pPr>
        <w:rPr>
          <w:rFonts w:hint="eastAsia"/>
        </w:rPr>
      </w:pPr>
      <w:r>
        <w:rPr>
          <w:rFonts w:hint="eastAsia"/>
        </w:rPr>
        <w:t>13</w:t>
      </w:r>
      <w:r>
        <w:rPr>
          <w:rFonts w:hint="eastAsia"/>
          <w:lang w:val="en-US" w:eastAsia="zh-CN"/>
        </w:rPr>
        <w:t>.</w:t>
      </w:r>
      <w:r>
        <w:rPr>
          <w:rFonts w:hint="eastAsia"/>
        </w:rPr>
        <w:t>昌黎县昊良缝制设备有限公司</w:t>
      </w:r>
    </w:p>
    <w:p>
      <w:pPr>
        <w:rPr>
          <w:rFonts w:hint="eastAsia"/>
        </w:rPr>
      </w:pPr>
      <w:r>
        <w:rPr>
          <w:rFonts w:hint="eastAsia"/>
        </w:rPr>
        <w:t>14</w:t>
      </w:r>
      <w:r>
        <w:rPr>
          <w:rFonts w:hint="eastAsia"/>
          <w:lang w:val="en-US" w:eastAsia="zh-CN"/>
        </w:rPr>
        <w:t>.</w:t>
      </w:r>
      <w:r>
        <w:rPr>
          <w:rFonts w:hint="eastAsia"/>
        </w:rPr>
        <w:t>昌黎县华顺精密机件制造有限公司</w:t>
      </w:r>
    </w:p>
    <w:p>
      <w:pPr>
        <w:rPr>
          <w:rFonts w:hint="eastAsia"/>
        </w:rPr>
      </w:pPr>
      <w:r>
        <w:rPr>
          <w:rFonts w:hint="eastAsia"/>
        </w:rPr>
        <w:t>15</w:t>
      </w:r>
      <w:r>
        <w:rPr>
          <w:rFonts w:hint="eastAsia"/>
          <w:lang w:val="en-US" w:eastAsia="zh-CN"/>
        </w:rPr>
        <w:t>.</w:t>
      </w:r>
      <w:r>
        <w:rPr>
          <w:rFonts w:hint="eastAsia"/>
        </w:rPr>
        <w:t>昌黎县慧光耐磨材料有限公司</w:t>
      </w:r>
    </w:p>
    <w:p>
      <w:pPr>
        <w:rPr>
          <w:rFonts w:hint="eastAsia"/>
        </w:rPr>
      </w:pPr>
      <w:r>
        <w:rPr>
          <w:rFonts w:hint="eastAsia"/>
        </w:rPr>
        <w:t>16</w:t>
      </w:r>
      <w:r>
        <w:rPr>
          <w:rFonts w:hint="eastAsia"/>
          <w:lang w:val="en-US" w:eastAsia="zh-CN"/>
        </w:rPr>
        <w:t>.</w:t>
      </w:r>
      <w:r>
        <w:rPr>
          <w:rFonts w:hint="eastAsia"/>
        </w:rPr>
        <w:t>昌黎县金士成缝纫机零件厂</w:t>
      </w:r>
    </w:p>
    <w:p>
      <w:pPr>
        <w:rPr>
          <w:rFonts w:hint="eastAsia"/>
        </w:rPr>
      </w:pPr>
      <w:r>
        <w:rPr>
          <w:rFonts w:hint="eastAsia"/>
        </w:rPr>
        <w:t>17</w:t>
      </w:r>
      <w:r>
        <w:rPr>
          <w:rFonts w:hint="eastAsia"/>
          <w:lang w:val="en-US" w:eastAsia="zh-CN"/>
        </w:rPr>
        <w:t>.</w:t>
      </w:r>
      <w:r>
        <w:rPr>
          <w:rFonts w:hint="eastAsia"/>
        </w:rPr>
        <w:t>昌黎县明锋精密机件有限公司</w:t>
      </w:r>
    </w:p>
    <w:p>
      <w:pPr>
        <w:rPr>
          <w:rFonts w:hint="eastAsia"/>
        </w:rPr>
      </w:pPr>
      <w:r>
        <w:rPr>
          <w:rFonts w:hint="eastAsia"/>
        </w:rPr>
        <w:t>18</w:t>
      </w:r>
      <w:r>
        <w:rPr>
          <w:rFonts w:hint="eastAsia"/>
          <w:lang w:val="en-US" w:eastAsia="zh-CN"/>
        </w:rPr>
        <w:t>.</w:t>
      </w:r>
      <w:r>
        <w:rPr>
          <w:rFonts w:hint="eastAsia"/>
        </w:rPr>
        <w:t>昌黎县新昌精密铸造有限公司</w:t>
      </w:r>
    </w:p>
    <w:p>
      <w:pPr>
        <w:rPr>
          <w:rFonts w:hint="eastAsia"/>
        </w:rPr>
      </w:pPr>
      <w:r>
        <w:rPr>
          <w:rFonts w:hint="eastAsia"/>
        </w:rPr>
        <w:t>19</w:t>
      </w:r>
      <w:r>
        <w:rPr>
          <w:rFonts w:hint="eastAsia"/>
          <w:lang w:val="en-US" w:eastAsia="zh-CN"/>
        </w:rPr>
        <w:t>.</w:t>
      </w:r>
      <w:r>
        <w:rPr>
          <w:rFonts w:hint="eastAsia"/>
        </w:rPr>
        <w:t>秦皇岛瑞泰明家居有限公司</w:t>
      </w:r>
    </w:p>
    <w:p>
      <w:pPr>
        <w:rPr>
          <w:rFonts w:hint="eastAsia"/>
        </w:rPr>
      </w:pPr>
      <w:r>
        <w:rPr>
          <w:rFonts w:hint="eastAsia"/>
        </w:rPr>
        <w:t>20</w:t>
      </w:r>
      <w:r>
        <w:rPr>
          <w:rFonts w:hint="eastAsia"/>
          <w:lang w:val="en-US" w:eastAsia="zh-CN"/>
        </w:rPr>
        <w:t>.</w:t>
      </w:r>
      <w:r>
        <w:rPr>
          <w:rFonts w:hint="eastAsia"/>
        </w:rPr>
        <w:t>昌黎县宜家致尚装饰装潢有限公司</w:t>
      </w:r>
    </w:p>
    <w:p>
      <w:pPr>
        <w:rPr>
          <w:rFonts w:hint="eastAsia"/>
        </w:rPr>
      </w:pPr>
      <w:r>
        <w:rPr>
          <w:rFonts w:hint="eastAsia"/>
        </w:rPr>
        <w:t>21</w:t>
      </w:r>
      <w:r>
        <w:rPr>
          <w:rFonts w:hint="eastAsia"/>
          <w:lang w:val="en-US" w:eastAsia="zh-CN"/>
        </w:rPr>
        <w:t>.</w:t>
      </w:r>
      <w:r>
        <w:rPr>
          <w:rFonts w:hint="eastAsia"/>
        </w:rPr>
        <w:t>昌黎源达木业有限责任公司</w:t>
      </w:r>
    </w:p>
    <w:p>
      <w:pPr>
        <w:rPr>
          <w:rFonts w:hint="eastAsia"/>
        </w:rPr>
      </w:pPr>
      <w:r>
        <w:rPr>
          <w:rFonts w:hint="eastAsia"/>
        </w:rPr>
        <w:t>22</w:t>
      </w:r>
      <w:r>
        <w:rPr>
          <w:rFonts w:hint="eastAsia"/>
          <w:lang w:val="en-US" w:eastAsia="zh-CN"/>
        </w:rPr>
        <w:t>.</w:t>
      </w:r>
      <w:r>
        <w:rPr>
          <w:rFonts w:hint="eastAsia"/>
        </w:rPr>
        <w:t>中粮华夏长城葡萄酒有限公司</w:t>
      </w:r>
    </w:p>
    <w:p>
      <w:pPr>
        <w:rPr>
          <w:rFonts w:hint="eastAsia"/>
        </w:rPr>
      </w:pPr>
      <w:r>
        <w:rPr>
          <w:rFonts w:hint="eastAsia"/>
        </w:rPr>
        <w:t>23</w:t>
      </w:r>
      <w:r>
        <w:rPr>
          <w:rFonts w:hint="eastAsia"/>
          <w:lang w:val="en-US" w:eastAsia="zh-CN"/>
        </w:rPr>
        <w:t>.</w:t>
      </w:r>
      <w:r>
        <w:rPr>
          <w:rFonts w:hint="eastAsia"/>
        </w:rPr>
        <w:t>河北天建钢结构股份有限公司</w:t>
      </w:r>
    </w:p>
    <w:p>
      <w:pPr>
        <w:rPr>
          <w:rFonts w:hint="eastAsia"/>
        </w:rPr>
      </w:pPr>
      <w:r>
        <w:rPr>
          <w:rFonts w:hint="eastAsia"/>
        </w:rPr>
        <w:t>24</w:t>
      </w:r>
      <w:r>
        <w:rPr>
          <w:rFonts w:hint="eastAsia"/>
          <w:lang w:val="en-US" w:eastAsia="zh-CN"/>
        </w:rPr>
        <w:t>.</w:t>
      </w:r>
      <w:r>
        <w:rPr>
          <w:rFonts w:hint="eastAsia"/>
        </w:rPr>
        <w:t>秦皇岛鹏远淀粉有限公司</w:t>
      </w:r>
    </w:p>
    <w:p>
      <w:pPr>
        <w:rPr>
          <w:rFonts w:hint="eastAsia"/>
        </w:rPr>
      </w:pPr>
      <w:r>
        <w:rPr>
          <w:rFonts w:hint="eastAsia"/>
        </w:rPr>
        <w:t>25</w:t>
      </w:r>
      <w:r>
        <w:rPr>
          <w:rFonts w:hint="eastAsia"/>
          <w:lang w:val="en-US" w:eastAsia="zh-CN"/>
        </w:rPr>
        <w:t>.</w:t>
      </w:r>
      <w:r>
        <w:rPr>
          <w:rFonts w:hint="eastAsia"/>
        </w:rPr>
        <w:t>昌黎县大铭粉丝厂</w:t>
      </w:r>
    </w:p>
    <w:p>
      <w:pPr>
        <w:rPr>
          <w:rFonts w:hint="eastAsia"/>
        </w:rPr>
      </w:pPr>
      <w:r>
        <w:rPr>
          <w:rFonts w:hint="eastAsia"/>
        </w:rPr>
        <w:t>26</w:t>
      </w:r>
      <w:r>
        <w:rPr>
          <w:rFonts w:hint="eastAsia"/>
          <w:lang w:val="en-US" w:eastAsia="zh-CN"/>
        </w:rPr>
        <w:t>.</w:t>
      </w:r>
      <w:r>
        <w:rPr>
          <w:rFonts w:hint="eastAsia"/>
        </w:rPr>
        <w:t>昌黎县宏鹏粉丝厂</w:t>
      </w:r>
    </w:p>
    <w:p>
      <w:pPr>
        <w:rPr>
          <w:rFonts w:hint="eastAsia"/>
        </w:rPr>
      </w:pPr>
      <w:r>
        <w:rPr>
          <w:rFonts w:hint="eastAsia"/>
        </w:rPr>
        <w:t>27</w:t>
      </w:r>
      <w:r>
        <w:rPr>
          <w:rFonts w:hint="eastAsia"/>
          <w:lang w:val="en-US" w:eastAsia="zh-CN"/>
        </w:rPr>
        <w:t>.</w:t>
      </w:r>
      <w:r>
        <w:rPr>
          <w:rFonts w:hint="eastAsia"/>
        </w:rPr>
        <w:t>昌黎县万源粉丝厂</w:t>
      </w:r>
    </w:p>
    <w:p>
      <w:pPr>
        <w:rPr>
          <w:rFonts w:hint="eastAsia"/>
        </w:rPr>
      </w:pPr>
      <w:r>
        <w:rPr>
          <w:rFonts w:hint="eastAsia"/>
        </w:rPr>
        <w:t>28</w:t>
      </w:r>
      <w:r>
        <w:rPr>
          <w:rFonts w:hint="eastAsia"/>
          <w:lang w:val="en-US" w:eastAsia="zh-CN"/>
        </w:rPr>
        <w:t>.</w:t>
      </w:r>
      <w:r>
        <w:rPr>
          <w:rFonts w:hint="eastAsia"/>
        </w:rPr>
        <w:t>昌黎县旭业粉丝厂</w:t>
      </w:r>
    </w:p>
    <w:p>
      <w:pPr>
        <w:rPr>
          <w:rFonts w:hint="eastAsia"/>
        </w:rPr>
      </w:pPr>
      <w:r>
        <w:rPr>
          <w:rFonts w:hint="eastAsia"/>
        </w:rPr>
        <w:t>29</w:t>
      </w:r>
      <w:r>
        <w:rPr>
          <w:rFonts w:hint="eastAsia"/>
          <w:lang w:val="en-US" w:eastAsia="zh-CN"/>
        </w:rPr>
        <w:t>.</w:t>
      </w:r>
      <w:r>
        <w:rPr>
          <w:rFonts w:hint="eastAsia"/>
        </w:rPr>
        <w:t>昌黎县学东粉丝厂</w:t>
      </w:r>
    </w:p>
    <w:p>
      <w:pPr>
        <w:rPr>
          <w:rFonts w:hint="eastAsia"/>
        </w:rPr>
      </w:pPr>
      <w:r>
        <w:rPr>
          <w:rFonts w:hint="eastAsia"/>
        </w:rPr>
        <w:t>30</w:t>
      </w:r>
      <w:r>
        <w:rPr>
          <w:rFonts w:hint="eastAsia"/>
          <w:lang w:val="en-US" w:eastAsia="zh-CN"/>
        </w:rPr>
        <w:t>.</w:t>
      </w:r>
      <w:r>
        <w:rPr>
          <w:rFonts w:hint="eastAsia"/>
        </w:rPr>
        <w:t>昌黎县合力食品有限公司</w:t>
      </w:r>
    </w:p>
    <w:p>
      <w:pPr>
        <w:rPr>
          <w:rFonts w:hint="eastAsia"/>
        </w:rPr>
      </w:pPr>
      <w:r>
        <w:rPr>
          <w:rFonts w:hint="eastAsia"/>
        </w:rPr>
        <w:t>31</w:t>
      </w:r>
      <w:r>
        <w:rPr>
          <w:rFonts w:hint="eastAsia"/>
          <w:lang w:val="en-US" w:eastAsia="zh-CN"/>
        </w:rPr>
        <w:t>.</w:t>
      </w:r>
      <w:r>
        <w:rPr>
          <w:rFonts w:hint="eastAsia"/>
        </w:rPr>
        <w:t>昌黎县顺盛食品有限公司</w:t>
      </w:r>
    </w:p>
    <w:p>
      <w:pPr>
        <w:rPr>
          <w:rFonts w:hint="eastAsia"/>
        </w:rPr>
      </w:pPr>
      <w:r>
        <w:rPr>
          <w:rFonts w:hint="eastAsia"/>
        </w:rPr>
        <w:t>32</w:t>
      </w:r>
      <w:r>
        <w:rPr>
          <w:rFonts w:hint="eastAsia"/>
          <w:lang w:val="en-US" w:eastAsia="zh-CN"/>
        </w:rPr>
        <w:t>.</w:t>
      </w:r>
      <w:r>
        <w:rPr>
          <w:rFonts w:hint="eastAsia"/>
        </w:rPr>
        <w:t>昌黎县永旺食品有限公司</w:t>
      </w:r>
    </w:p>
    <w:p>
      <w:pPr>
        <w:rPr>
          <w:rFonts w:hint="eastAsia"/>
        </w:rPr>
      </w:pPr>
      <w:r>
        <w:rPr>
          <w:rFonts w:hint="eastAsia"/>
        </w:rPr>
        <w:t>33</w:t>
      </w:r>
      <w:r>
        <w:rPr>
          <w:rFonts w:hint="eastAsia"/>
          <w:lang w:val="en-US" w:eastAsia="zh-CN"/>
        </w:rPr>
        <w:t>.</w:t>
      </w:r>
      <w:r>
        <w:rPr>
          <w:rFonts w:hint="eastAsia"/>
        </w:rPr>
        <w:t>昌黎哲浩食品有限责任公司</w:t>
      </w:r>
    </w:p>
    <w:p>
      <w:pPr>
        <w:rPr>
          <w:rFonts w:hint="eastAsia"/>
        </w:rPr>
      </w:pPr>
      <w:r>
        <w:rPr>
          <w:rFonts w:hint="eastAsia"/>
        </w:rPr>
        <w:t>34</w:t>
      </w:r>
      <w:r>
        <w:rPr>
          <w:rFonts w:hint="eastAsia"/>
          <w:lang w:val="en-US" w:eastAsia="zh-CN"/>
        </w:rPr>
        <w:t>.</w:t>
      </w:r>
      <w:r>
        <w:rPr>
          <w:rFonts w:hint="eastAsia"/>
        </w:rPr>
        <w:t>秦皇岛东洋食品有限公司</w:t>
      </w:r>
    </w:p>
    <w:p>
      <w:pPr>
        <w:rPr>
          <w:rFonts w:hint="eastAsia"/>
        </w:rPr>
      </w:pPr>
      <w:r>
        <w:rPr>
          <w:rFonts w:hint="eastAsia"/>
        </w:rPr>
        <w:t>35</w:t>
      </w:r>
      <w:r>
        <w:rPr>
          <w:rFonts w:hint="eastAsia"/>
          <w:lang w:val="en-US" w:eastAsia="zh-CN"/>
        </w:rPr>
        <w:t>.</w:t>
      </w:r>
      <w:r>
        <w:rPr>
          <w:rFonts w:hint="eastAsia"/>
        </w:rPr>
        <w:t>秦皇岛鹏发食品有限公司</w:t>
      </w:r>
    </w:p>
    <w:p>
      <w:pPr>
        <w:rPr>
          <w:rFonts w:hint="eastAsia"/>
        </w:rPr>
      </w:pPr>
      <w:r>
        <w:rPr>
          <w:rFonts w:hint="eastAsia"/>
        </w:rPr>
        <w:t>36</w:t>
      </w:r>
      <w:r>
        <w:rPr>
          <w:rFonts w:hint="eastAsia"/>
          <w:lang w:val="en-US" w:eastAsia="zh-CN"/>
        </w:rPr>
        <w:t>.</w:t>
      </w:r>
      <w:r>
        <w:rPr>
          <w:rFonts w:hint="eastAsia"/>
        </w:rPr>
        <w:t>秦皇岛晓村食品有限公司</w:t>
      </w:r>
    </w:p>
    <w:p>
      <w:pPr>
        <w:rPr>
          <w:rFonts w:hint="eastAsia"/>
        </w:rPr>
      </w:pPr>
      <w:r>
        <w:rPr>
          <w:rFonts w:hint="eastAsia"/>
        </w:rPr>
        <w:t>37</w:t>
      </w:r>
      <w:r>
        <w:rPr>
          <w:rFonts w:hint="eastAsia"/>
          <w:lang w:val="en-US" w:eastAsia="zh-CN"/>
        </w:rPr>
        <w:t>.</w:t>
      </w:r>
      <w:r>
        <w:rPr>
          <w:rFonts w:hint="eastAsia"/>
        </w:rPr>
        <w:t>昌黎县东风缝纫机零件厂</w:t>
      </w:r>
    </w:p>
    <w:p>
      <w:pPr>
        <w:rPr>
          <w:rFonts w:hint="eastAsia"/>
        </w:rPr>
      </w:pPr>
      <w:r>
        <w:rPr>
          <w:rFonts w:hint="eastAsia"/>
        </w:rPr>
        <w:t>38</w:t>
      </w:r>
      <w:r>
        <w:rPr>
          <w:rFonts w:hint="eastAsia"/>
          <w:lang w:val="en-US" w:eastAsia="zh-CN"/>
        </w:rPr>
        <w:t>.</w:t>
      </w:r>
      <w:r>
        <w:rPr>
          <w:rFonts w:hint="eastAsia"/>
        </w:rPr>
        <w:t>昌黎县金山缝制设备有限公司</w:t>
      </w:r>
    </w:p>
    <w:p>
      <w:pPr>
        <w:rPr>
          <w:rFonts w:hint="eastAsia"/>
        </w:rPr>
      </w:pPr>
      <w:r>
        <w:rPr>
          <w:rFonts w:hint="eastAsia"/>
        </w:rPr>
        <w:t>39</w:t>
      </w:r>
      <w:r>
        <w:rPr>
          <w:rFonts w:hint="eastAsia"/>
          <w:lang w:val="en-US" w:eastAsia="zh-CN"/>
        </w:rPr>
        <w:t>.</w:t>
      </w:r>
      <w:r>
        <w:rPr>
          <w:rFonts w:hint="eastAsia"/>
        </w:rPr>
        <w:t>昌黎县利鑫精密机件厂</w:t>
      </w:r>
    </w:p>
    <w:p>
      <w:pPr>
        <w:rPr>
          <w:rFonts w:hint="eastAsia"/>
        </w:rPr>
      </w:pPr>
      <w:r>
        <w:rPr>
          <w:rFonts w:hint="eastAsia"/>
        </w:rPr>
        <w:t>40</w:t>
      </w:r>
      <w:r>
        <w:rPr>
          <w:rFonts w:hint="eastAsia"/>
          <w:lang w:val="en-US" w:eastAsia="zh-CN"/>
        </w:rPr>
        <w:t>.</w:t>
      </w:r>
      <w:r>
        <w:rPr>
          <w:rFonts w:hint="eastAsia"/>
        </w:rPr>
        <w:t>昌黎县瑞昌通用配件有限公司</w:t>
      </w:r>
    </w:p>
    <w:p>
      <w:pPr>
        <w:rPr>
          <w:rFonts w:hint="eastAsia"/>
        </w:rPr>
      </w:pPr>
      <w:r>
        <w:rPr>
          <w:rFonts w:hint="eastAsia"/>
        </w:rPr>
        <w:t>41</w:t>
      </w:r>
      <w:r>
        <w:rPr>
          <w:rFonts w:hint="eastAsia"/>
          <w:lang w:val="en-US" w:eastAsia="zh-CN"/>
        </w:rPr>
        <w:t>.</w:t>
      </w:r>
      <w:r>
        <w:rPr>
          <w:rFonts w:hint="eastAsia"/>
        </w:rPr>
        <w:t>秦皇岛市新奇精密铸业有限公司</w:t>
      </w:r>
    </w:p>
    <w:p>
      <w:pPr>
        <w:rPr>
          <w:rFonts w:hint="eastAsia"/>
        </w:rPr>
      </w:pPr>
      <w:r>
        <w:rPr>
          <w:rFonts w:hint="eastAsia"/>
        </w:rPr>
        <w:t>42</w:t>
      </w:r>
      <w:r>
        <w:rPr>
          <w:rFonts w:hint="eastAsia"/>
          <w:lang w:val="en-US" w:eastAsia="zh-CN"/>
        </w:rPr>
        <w:t>.</w:t>
      </w:r>
      <w:r>
        <w:rPr>
          <w:rFonts w:hint="eastAsia"/>
        </w:rPr>
        <w:t>秦皇岛索坤玻璃容器有限公司</w:t>
      </w:r>
    </w:p>
    <w:p>
      <w:pPr>
        <w:rPr>
          <w:rFonts w:hint="eastAsia"/>
        </w:rPr>
      </w:pPr>
      <w:r>
        <w:rPr>
          <w:rFonts w:hint="eastAsia"/>
        </w:rPr>
        <w:t>43</w:t>
      </w:r>
      <w:r>
        <w:rPr>
          <w:rFonts w:hint="eastAsia"/>
          <w:lang w:val="en-US" w:eastAsia="zh-CN"/>
        </w:rPr>
        <w:t>.</w:t>
      </w:r>
      <w:r>
        <w:rPr>
          <w:rFonts w:hint="eastAsia"/>
        </w:rPr>
        <w:t>格润家具</w:t>
      </w:r>
    </w:p>
    <w:p>
      <w:pPr>
        <w:rPr>
          <w:rFonts w:hint="eastAsia"/>
        </w:rPr>
      </w:pPr>
      <w:r>
        <w:rPr>
          <w:rFonts w:hint="eastAsia"/>
        </w:rPr>
        <w:t>44</w:t>
      </w:r>
      <w:r>
        <w:rPr>
          <w:rFonts w:hint="eastAsia"/>
          <w:lang w:val="en-US" w:eastAsia="zh-CN"/>
        </w:rPr>
        <w:t>.</w:t>
      </w:r>
      <w:r>
        <w:rPr>
          <w:rFonts w:hint="eastAsia"/>
        </w:rPr>
        <w:t>秦皇岛景瑞纺织有限公司</w:t>
      </w:r>
    </w:p>
    <w:p>
      <w:pPr>
        <w:rPr>
          <w:rFonts w:hint="eastAsia"/>
        </w:rPr>
      </w:pPr>
      <w:r>
        <w:rPr>
          <w:rFonts w:hint="eastAsia"/>
        </w:rPr>
        <w:t>45</w:t>
      </w:r>
      <w:r>
        <w:rPr>
          <w:rFonts w:hint="eastAsia"/>
          <w:lang w:val="en-US" w:eastAsia="zh-CN"/>
        </w:rPr>
        <w:t>.</w:t>
      </w:r>
      <w:r>
        <w:rPr>
          <w:rFonts w:hint="eastAsia"/>
        </w:rPr>
        <w:t>秦皇岛沿海木业有限责任公司</w:t>
      </w:r>
    </w:p>
    <w:p>
      <w:pPr>
        <w:rPr>
          <w:rFonts w:hint="eastAsia"/>
        </w:rPr>
      </w:pPr>
      <w:r>
        <w:rPr>
          <w:rFonts w:hint="eastAsia"/>
        </w:rPr>
        <w:t>46</w:t>
      </w:r>
      <w:r>
        <w:rPr>
          <w:rFonts w:hint="eastAsia"/>
          <w:lang w:val="en-US" w:eastAsia="zh-CN"/>
        </w:rPr>
        <w:t>.</w:t>
      </w:r>
      <w:r>
        <w:rPr>
          <w:rFonts w:hint="eastAsia"/>
        </w:rPr>
        <w:t>茅台集团昌黎葡萄酒业有限公司</w:t>
      </w:r>
    </w:p>
    <w:p>
      <w:pPr>
        <w:rPr>
          <w:rFonts w:hint="eastAsia"/>
        </w:rPr>
      </w:pPr>
      <w:r>
        <w:rPr>
          <w:rFonts w:hint="eastAsia"/>
        </w:rPr>
        <w:t>47</w:t>
      </w:r>
      <w:r>
        <w:rPr>
          <w:rFonts w:hint="eastAsia"/>
          <w:lang w:val="en-US" w:eastAsia="zh-CN"/>
        </w:rPr>
        <w:t>.</w:t>
      </w:r>
      <w:r>
        <w:rPr>
          <w:rFonts w:hint="eastAsia"/>
        </w:rPr>
        <w:t>秦皇岛众拓预应力钢绞线有限公司</w:t>
      </w:r>
    </w:p>
    <w:p>
      <w:pPr>
        <w:rPr>
          <w:rFonts w:hint="eastAsia"/>
        </w:rPr>
      </w:pPr>
      <w:r>
        <w:rPr>
          <w:rFonts w:hint="eastAsia"/>
        </w:rPr>
        <w:t>48</w:t>
      </w:r>
      <w:r>
        <w:rPr>
          <w:rFonts w:hint="eastAsia"/>
          <w:lang w:val="en-US" w:eastAsia="zh-CN"/>
        </w:rPr>
        <w:t>.</w:t>
      </w:r>
      <w:r>
        <w:rPr>
          <w:rFonts w:hint="eastAsia"/>
        </w:rPr>
        <w:t>昌黎县兴民伟业建筑设备有限公司</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sz w:val="32"/>
          <w:szCs w:val="32"/>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default" w:ascii="黑体" w:hAnsi="黑体" w:eastAsia="黑体" w:cs="黑体"/>
          <w:sz w:val="32"/>
          <w:szCs w:val="32"/>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监督检查计划任务分配表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黑体" w:hAnsi="黑体" w:eastAsia="黑体" w:cs="黑体"/>
          <w:sz w:val="32"/>
          <w:szCs w:val="32"/>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126"/>
        <w:gridCol w:w="2053"/>
        <w:gridCol w:w="187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pageBreakBefore w:val="0"/>
              <w:kinsoku/>
              <w:wordWrap/>
              <w:overflowPunct/>
              <w:topLinePunct w:val="0"/>
              <w:autoSpaceDE/>
              <w:bidi w:val="0"/>
              <w:spacing w:line="560" w:lineRule="exact"/>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126" w:type="dxa"/>
          </w:tcPr>
          <w:p>
            <w:pPr>
              <w:keepNext w:val="0"/>
              <w:keepLines w:val="0"/>
              <w:pageBreakBefore w:val="0"/>
              <w:kinsoku/>
              <w:wordWrap/>
              <w:overflowPunct/>
              <w:topLinePunct w:val="0"/>
              <w:autoSpaceDE/>
              <w:bidi w:val="0"/>
              <w:spacing w:line="560" w:lineRule="exact"/>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科室名称</w:t>
            </w:r>
          </w:p>
        </w:tc>
        <w:tc>
          <w:tcPr>
            <w:tcW w:w="2053" w:type="dxa"/>
          </w:tcPr>
          <w:p>
            <w:pPr>
              <w:keepNext w:val="0"/>
              <w:keepLines w:val="0"/>
              <w:pageBreakBefore w:val="0"/>
              <w:kinsoku/>
              <w:wordWrap/>
              <w:overflowPunct/>
              <w:topLinePunct w:val="0"/>
              <w:autoSpaceDE/>
              <w:bidi w:val="0"/>
              <w:spacing w:line="560" w:lineRule="exact"/>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重点检查</w:t>
            </w:r>
          </w:p>
          <w:p>
            <w:pPr>
              <w:keepNext w:val="0"/>
              <w:keepLines w:val="0"/>
              <w:pageBreakBefore w:val="0"/>
              <w:kinsoku/>
              <w:wordWrap/>
              <w:overflowPunct/>
              <w:topLinePunct w:val="0"/>
              <w:autoSpaceDE/>
              <w:bidi w:val="0"/>
              <w:spacing w:line="560" w:lineRule="exact"/>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计划数</w:t>
            </w:r>
          </w:p>
        </w:tc>
        <w:tc>
          <w:tcPr>
            <w:tcW w:w="1878" w:type="dxa"/>
          </w:tcPr>
          <w:p>
            <w:pPr>
              <w:keepNext w:val="0"/>
              <w:keepLines w:val="0"/>
              <w:pageBreakBefore w:val="0"/>
              <w:kinsoku/>
              <w:wordWrap/>
              <w:overflowPunct/>
              <w:topLinePunct w:val="0"/>
              <w:autoSpaceDE/>
              <w:bidi w:val="0"/>
              <w:spacing w:line="560" w:lineRule="exact"/>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一般检查</w:t>
            </w:r>
          </w:p>
          <w:p>
            <w:pPr>
              <w:keepNext w:val="0"/>
              <w:keepLines w:val="0"/>
              <w:pageBreakBefore w:val="0"/>
              <w:kinsoku/>
              <w:wordWrap/>
              <w:overflowPunct/>
              <w:topLinePunct w:val="0"/>
              <w:autoSpaceDE/>
              <w:bidi w:val="0"/>
              <w:spacing w:line="560" w:lineRule="exact"/>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计划数</w:t>
            </w:r>
          </w:p>
        </w:tc>
        <w:tc>
          <w:tcPr>
            <w:tcW w:w="1714" w:type="dxa"/>
          </w:tcPr>
          <w:p>
            <w:pPr>
              <w:keepNext w:val="0"/>
              <w:keepLines w:val="0"/>
              <w:pageBreakBefore w:val="0"/>
              <w:kinsoku/>
              <w:wordWrap/>
              <w:overflowPunct/>
              <w:topLinePunct w:val="0"/>
              <w:autoSpaceDE/>
              <w:bidi w:val="0"/>
              <w:spacing w:line="560" w:lineRule="exact"/>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2126"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执法一中队</w:t>
            </w:r>
          </w:p>
        </w:tc>
        <w:tc>
          <w:tcPr>
            <w:tcW w:w="205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r>
              <w:rPr>
                <w:rFonts w:hint="eastAsia" w:cs="仿宋_GB2312"/>
                <w:kern w:val="0"/>
                <w:sz w:val="21"/>
                <w:szCs w:val="21"/>
                <w:lang w:val="en-US" w:eastAsia="zh-CN"/>
              </w:rPr>
              <w:t>1</w:t>
            </w:r>
          </w:p>
        </w:tc>
        <w:tc>
          <w:tcPr>
            <w:tcW w:w="1878"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p>
        </w:tc>
        <w:tc>
          <w:tcPr>
            <w:tcW w:w="171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r>
              <w:rPr>
                <w:rFonts w:hint="eastAsia" w:cs="仿宋_GB2312"/>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2126"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执法二中队</w:t>
            </w:r>
          </w:p>
        </w:tc>
        <w:tc>
          <w:tcPr>
            <w:tcW w:w="205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r>
              <w:rPr>
                <w:rFonts w:hint="eastAsia" w:cs="仿宋_GB2312"/>
                <w:kern w:val="0"/>
                <w:sz w:val="21"/>
                <w:szCs w:val="21"/>
                <w:lang w:val="en-US" w:eastAsia="zh-CN"/>
              </w:rPr>
              <w:t>9</w:t>
            </w:r>
          </w:p>
        </w:tc>
        <w:tc>
          <w:tcPr>
            <w:tcW w:w="1878"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p>
        </w:tc>
        <w:tc>
          <w:tcPr>
            <w:tcW w:w="171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r>
              <w:rPr>
                <w:rFonts w:hint="eastAsia" w:cs="仿宋_GB2312"/>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p>
        </w:tc>
        <w:tc>
          <w:tcPr>
            <w:tcW w:w="2126"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执法三中队</w:t>
            </w:r>
          </w:p>
        </w:tc>
        <w:tc>
          <w:tcPr>
            <w:tcW w:w="205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48</w:t>
            </w:r>
          </w:p>
        </w:tc>
        <w:tc>
          <w:tcPr>
            <w:tcW w:w="1878"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171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gridSpan w:val="2"/>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合计</w:t>
            </w:r>
          </w:p>
        </w:tc>
        <w:tc>
          <w:tcPr>
            <w:tcW w:w="205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r>
              <w:rPr>
                <w:rFonts w:hint="eastAsia" w:cs="仿宋_GB2312"/>
                <w:kern w:val="0"/>
                <w:sz w:val="21"/>
                <w:szCs w:val="21"/>
                <w:lang w:val="en-US" w:eastAsia="zh-CN"/>
              </w:rPr>
              <w:t>8</w:t>
            </w:r>
          </w:p>
        </w:tc>
        <w:tc>
          <w:tcPr>
            <w:tcW w:w="1878"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28</w:t>
            </w:r>
          </w:p>
        </w:tc>
        <w:tc>
          <w:tcPr>
            <w:tcW w:w="1714"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r>
              <w:rPr>
                <w:rFonts w:hint="eastAsia" w:cs="仿宋_GB2312"/>
                <w:kern w:val="0"/>
                <w:sz w:val="21"/>
                <w:szCs w:val="21"/>
                <w:lang w:val="en-US" w:eastAsia="zh-CN"/>
              </w:rPr>
              <w:t>6</w:t>
            </w:r>
          </w:p>
        </w:tc>
      </w:tr>
    </w:tbl>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default" w:ascii="仿宋_GB2312" w:hAnsi="仿宋_GB2312" w:eastAsia="仿宋_GB2312" w:cs="仿宋_GB2312"/>
          <w:sz w:val="21"/>
          <w:szCs w:val="21"/>
          <w:lang w:val="en-US" w:eastAsia="zh-CN"/>
        </w:rPr>
        <w:sectPr>
          <w:headerReference r:id="rId3" w:type="default"/>
          <w:footerReference r:id="rId4" w:type="default"/>
          <w:pgSz w:w="11906" w:h="16838"/>
          <w:pgMar w:top="2098" w:right="1474" w:bottom="1984" w:left="1587" w:header="851" w:footer="992" w:gutter="0"/>
          <w:cols w:space="0" w:num="1"/>
          <w:rtlGutter w:val="0"/>
          <w:docGrid w:type="linesAndChars" w:linePitch="589" w:charSpace="-842"/>
        </w:sectPr>
      </w:pPr>
      <w:r>
        <w:rPr>
          <w:rFonts w:hint="eastAsia" w:ascii="仿宋_GB2312" w:hAnsi="仿宋_GB2312" w:eastAsia="仿宋_GB2312" w:cs="仿宋_GB2312"/>
          <w:sz w:val="21"/>
          <w:szCs w:val="21"/>
          <w:lang w:val="en-US" w:eastAsia="zh-CN"/>
        </w:rPr>
        <w:t>备注：重点检查企业11</w:t>
      </w:r>
      <w:r>
        <w:rPr>
          <w:rFonts w:hint="eastAsia" w:cs="仿宋_GB2312"/>
          <w:sz w:val="21"/>
          <w:szCs w:val="21"/>
          <w:lang w:val="en-US" w:eastAsia="zh-CN"/>
        </w:rPr>
        <w:t>8</w:t>
      </w:r>
      <w:r>
        <w:rPr>
          <w:rFonts w:hint="eastAsia" w:ascii="仿宋_GB2312" w:hAnsi="仿宋_GB2312" w:eastAsia="仿宋_GB2312" w:cs="仿宋_GB2312"/>
          <w:sz w:val="21"/>
          <w:szCs w:val="21"/>
          <w:lang w:val="en-US" w:eastAsia="zh-CN"/>
        </w:rPr>
        <w:t>家，占比80.</w:t>
      </w:r>
      <w:r>
        <w:rPr>
          <w:rFonts w:hint="eastAsia" w:cs="仿宋_GB2312"/>
          <w:sz w:val="21"/>
          <w:szCs w:val="21"/>
          <w:lang w:val="en-US" w:eastAsia="zh-CN"/>
        </w:rPr>
        <w:t>8</w:t>
      </w:r>
      <w:r>
        <w:rPr>
          <w:rFonts w:hint="eastAsia" w:ascii="仿宋_GB2312" w:hAnsi="仿宋_GB2312" w:eastAsia="仿宋_GB2312" w:cs="仿宋_GB2312"/>
          <w:sz w:val="21"/>
          <w:szCs w:val="21"/>
          <w:lang w:val="en-US" w:eastAsia="zh-CN"/>
        </w:rPr>
        <w:t>%；一般检查28家，占比19.</w:t>
      </w:r>
      <w:r>
        <w:rPr>
          <w:rFonts w:hint="eastAsia" w:cs="仿宋_GB2312"/>
          <w:sz w:val="21"/>
          <w:szCs w:val="21"/>
          <w:lang w:val="en-US" w:eastAsia="zh-CN"/>
        </w:rPr>
        <w:t>2</w:t>
      </w:r>
      <w:r>
        <w:rPr>
          <w:rFonts w:hint="eastAsia" w:ascii="仿宋_GB2312" w:hAnsi="仿宋_GB2312" w:eastAsia="仿宋_GB2312" w:cs="仿宋_GB2312"/>
          <w:sz w:val="21"/>
          <w:szCs w:val="21"/>
          <w:lang w:val="en-US"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firstLine="2180" w:firstLineChars="500"/>
        <w:jc w:val="both"/>
        <w:textAlignment w:val="auto"/>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年度监督检查任务</w:t>
      </w:r>
      <w:r>
        <w:rPr>
          <w:rFonts w:hint="eastAsia" w:ascii="方正小标宋简体" w:hAnsi="方正小标宋简体" w:eastAsia="方正小标宋简体" w:cs="方正小标宋简体"/>
          <w:kern w:val="0"/>
          <w:sz w:val="44"/>
          <w:szCs w:val="44"/>
          <w:lang w:val="en-US" w:eastAsia="zh-CN"/>
        </w:rPr>
        <w:t>季度计划安排表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方正小标宋简体" w:hAnsi="方正小标宋简体" w:eastAsia="方正小标宋简体" w:cs="方正小标宋简体"/>
          <w:kern w:val="0"/>
          <w:sz w:val="44"/>
          <w:szCs w:val="44"/>
        </w:rPr>
      </w:pPr>
    </w:p>
    <w:tbl>
      <w:tblPr>
        <w:tblStyle w:val="11"/>
        <w:tblW w:w="134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478"/>
        <w:gridCol w:w="1369"/>
        <w:gridCol w:w="1457"/>
        <w:gridCol w:w="1427"/>
        <w:gridCol w:w="1383"/>
        <w:gridCol w:w="1427"/>
        <w:gridCol w:w="1419"/>
        <w:gridCol w:w="1277"/>
        <w:gridCol w:w="1274"/>
        <w:gridCol w:w="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1" w:hRule="atLeast"/>
          <w:jc w:val="center"/>
        </w:trPr>
        <w:tc>
          <w:tcPr>
            <w:tcW w:w="1478" w:type="dxa"/>
            <w:vMerge w:val="restar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单位</w:t>
            </w:r>
          </w:p>
        </w:tc>
        <w:tc>
          <w:tcPr>
            <w:tcW w:w="2826" w:type="dxa"/>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第一季度</w:t>
            </w:r>
          </w:p>
        </w:tc>
        <w:tc>
          <w:tcPr>
            <w:tcW w:w="2810" w:type="dxa"/>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第二季度</w:t>
            </w:r>
          </w:p>
        </w:tc>
        <w:tc>
          <w:tcPr>
            <w:tcW w:w="2846" w:type="dxa"/>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第三季度</w:t>
            </w:r>
          </w:p>
        </w:tc>
        <w:tc>
          <w:tcPr>
            <w:tcW w:w="2551" w:type="dxa"/>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第四季度</w:t>
            </w:r>
          </w:p>
        </w:tc>
        <w:tc>
          <w:tcPr>
            <w:tcW w:w="947"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小计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119" w:hRule="atLeast"/>
          <w:jc w:val="center"/>
        </w:trPr>
        <w:tc>
          <w:tcPr>
            <w:tcW w:w="1478" w:type="dxa"/>
            <w:vMerge w:val="continue"/>
            <w:vAlign w:val="center"/>
          </w:tcPr>
          <w:p>
            <w:pPr>
              <w:keepNext w:val="0"/>
              <w:keepLines w:val="0"/>
              <w:pageBreakBefore w:val="0"/>
              <w:kinsoku/>
              <w:wordWrap/>
              <w:overflowPunct/>
              <w:topLinePunct w:val="0"/>
              <w:autoSpaceDE/>
              <w:bidi w:val="0"/>
              <w:spacing w:line="560" w:lineRule="exact"/>
              <w:jc w:val="center"/>
              <w:rPr>
                <w:rFonts w:hint="eastAsia" w:ascii="黑体" w:hAnsi="黑体" w:eastAsia="黑体" w:cs="黑体"/>
                <w:sz w:val="21"/>
                <w:szCs w:val="21"/>
              </w:rPr>
            </w:pPr>
          </w:p>
        </w:tc>
        <w:tc>
          <w:tcPr>
            <w:tcW w:w="1369"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重点检查企业（家）</w:t>
            </w:r>
          </w:p>
        </w:tc>
        <w:tc>
          <w:tcPr>
            <w:tcW w:w="1457"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一般检查企业（家）</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重点检查企业（家）</w:t>
            </w:r>
          </w:p>
        </w:tc>
        <w:tc>
          <w:tcPr>
            <w:tcW w:w="1383"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一般检查企业（家）</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重点检查企业（家）</w:t>
            </w:r>
          </w:p>
        </w:tc>
        <w:tc>
          <w:tcPr>
            <w:tcW w:w="1419"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一般检查企业（家）</w:t>
            </w:r>
          </w:p>
        </w:tc>
        <w:tc>
          <w:tcPr>
            <w:tcW w:w="1277"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重点检查企业（家）</w:t>
            </w:r>
          </w:p>
        </w:tc>
        <w:tc>
          <w:tcPr>
            <w:tcW w:w="1274" w:type="dxa"/>
            <w:tcBorders>
              <w:top w:val="single" w:color="000000" w:sz="8" w:space="0"/>
              <w:left w:val="single" w:color="000000" w:sz="8" w:space="0"/>
              <w:right w:val="single" w:color="000000" w:sz="8" w:space="0"/>
            </w:tcBorders>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一般检查企业（家）</w:t>
            </w:r>
          </w:p>
        </w:tc>
        <w:tc>
          <w:tcPr>
            <w:tcW w:w="94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黑体" w:hAnsi="黑体" w:eastAsia="黑体" w:cs="黑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815" w:hRule="exact"/>
          <w:jc w:val="center"/>
        </w:trPr>
        <w:tc>
          <w:tcPr>
            <w:tcW w:w="1478"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执法一中队</w:t>
            </w:r>
          </w:p>
        </w:tc>
        <w:tc>
          <w:tcPr>
            <w:tcW w:w="136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4</w:t>
            </w:r>
          </w:p>
        </w:tc>
        <w:tc>
          <w:tcPr>
            <w:tcW w:w="145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10</w:t>
            </w:r>
          </w:p>
        </w:tc>
        <w:tc>
          <w:tcPr>
            <w:tcW w:w="1383"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10</w:t>
            </w:r>
          </w:p>
        </w:tc>
        <w:tc>
          <w:tcPr>
            <w:tcW w:w="141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27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7</w:t>
            </w:r>
          </w:p>
        </w:tc>
        <w:tc>
          <w:tcPr>
            <w:tcW w:w="1274"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94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cs="仿宋_GB2312"/>
                <w:sz w:val="21"/>
                <w:szCs w:val="21"/>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832" w:hRule="exact"/>
          <w:jc w:val="center"/>
        </w:trPr>
        <w:tc>
          <w:tcPr>
            <w:tcW w:w="1478"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执法二中队</w:t>
            </w:r>
          </w:p>
        </w:tc>
        <w:tc>
          <w:tcPr>
            <w:tcW w:w="136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6</w:t>
            </w:r>
          </w:p>
        </w:tc>
        <w:tc>
          <w:tcPr>
            <w:tcW w:w="145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13</w:t>
            </w:r>
          </w:p>
        </w:tc>
        <w:tc>
          <w:tcPr>
            <w:tcW w:w="1383"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12</w:t>
            </w:r>
          </w:p>
        </w:tc>
        <w:tc>
          <w:tcPr>
            <w:tcW w:w="141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27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1274"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94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cs="仿宋_GB2312"/>
                <w:sz w:val="21"/>
                <w:szCs w:val="21"/>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873" w:hRule="exact"/>
          <w:jc w:val="center"/>
        </w:trPr>
        <w:tc>
          <w:tcPr>
            <w:tcW w:w="1478"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执法三中队</w:t>
            </w:r>
          </w:p>
        </w:tc>
        <w:tc>
          <w:tcPr>
            <w:tcW w:w="136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145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2</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16</w:t>
            </w:r>
          </w:p>
        </w:tc>
        <w:tc>
          <w:tcPr>
            <w:tcW w:w="1383"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6</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16</w:t>
            </w:r>
          </w:p>
        </w:tc>
        <w:tc>
          <w:tcPr>
            <w:tcW w:w="141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6</w:t>
            </w:r>
          </w:p>
        </w:tc>
        <w:tc>
          <w:tcPr>
            <w:tcW w:w="127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1274"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6</w:t>
            </w:r>
          </w:p>
        </w:tc>
        <w:tc>
          <w:tcPr>
            <w:tcW w:w="94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sz w:val="21"/>
                <w:szCs w:val="21"/>
                <w:lang w:val="en-US" w:eastAsia="zh-CN"/>
              </w:rPr>
            </w:pPr>
            <w:r>
              <w:rPr>
                <w:rFonts w:hint="eastAsia" w:cs="仿宋_GB2312"/>
                <w:sz w:val="21"/>
                <w:szCs w:val="21"/>
                <w:lang w:val="en-US" w:eastAsia="zh-CN"/>
              </w:rPr>
              <w:t>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761" w:hRule="exact"/>
          <w:jc w:val="center"/>
        </w:trPr>
        <w:tc>
          <w:tcPr>
            <w:tcW w:w="1478"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合计</w:t>
            </w:r>
          </w:p>
        </w:tc>
        <w:tc>
          <w:tcPr>
            <w:tcW w:w="136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18</w:t>
            </w:r>
          </w:p>
        </w:tc>
        <w:tc>
          <w:tcPr>
            <w:tcW w:w="145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4</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cs="仿宋_GB2312"/>
                <w:color w:val="auto"/>
                <w:sz w:val="21"/>
                <w:szCs w:val="21"/>
                <w:lang w:val="en-US" w:eastAsia="zh-CN"/>
              </w:rPr>
              <w:t>9</w:t>
            </w:r>
          </w:p>
        </w:tc>
        <w:tc>
          <w:tcPr>
            <w:tcW w:w="1383"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142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38</w:t>
            </w:r>
          </w:p>
        </w:tc>
        <w:tc>
          <w:tcPr>
            <w:tcW w:w="1419"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1277"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23</w:t>
            </w:r>
          </w:p>
        </w:tc>
        <w:tc>
          <w:tcPr>
            <w:tcW w:w="1274" w:type="dxa"/>
            <w:tcBorders>
              <w:top w:val="single" w:color="000000" w:sz="8" w:space="0"/>
              <w:left w:val="single" w:color="000000" w:sz="8" w:space="0"/>
              <w:right w:val="single" w:color="000000" w:sz="8" w:space="0"/>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8</w:t>
            </w:r>
          </w:p>
        </w:tc>
        <w:tc>
          <w:tcPr>
            <w:tcW w:w="94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14</w:t>
            </w:r>
            <w:r>
              <w:rPr>
                <w:rFonts w:hint="eastAsia" w:cs="仿宋_GB2312"/>
                <w:sz w:val="21"/>
                <w:szCs w:val="21"/>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45" w:hRule="exact"/>
          <w:jc w:val="center"/>
        </w:trPr>
        <w:tc>
          <w:tcPr>
            <w:tcW w:w="13458" w:type="dxa"/>
            <w:gridSpan w:val="1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备注：重点检查企业</w:t>
            </w:r>
            <w:r>
              <w:rPr>
                <w:rFonts w:hint="eastAsia" w:ascii="仿宋_GB2312" w:hAnsi="仿宋_GB2312" w:eastAsia="仿宋_GB2312" w:cs="仿宋_GB2312"/>
                <w:sz w:val="21"/>
                <w:szCs w:val="21"/>
                <w:lang w:val="en-US" w:eastAsia="zh-CN"/>
              </w:rPr>
              <w:t>11</w:t>
            </w:r>
            <w:r>
              <w:rPr>
                <w:rFonts w:hint="eastAsia" w:cs="仿宋_GB2312"/>
                <w:sz w:val="21"/>
                <w:szCs w:val="21"/>
                <w:lang w:val="en-US" w:eastAsia="zh-CN"/>
              </w:rPr>
              <w:t>8</w:t>
            </w:r>
            <w:r>
              <w:rPr>
                <w:rFonts w:hint="eastAsia" w:ascii="仿宋_GB2312" w:hAnsi="仿宋_GB2312" w:eastAsia="仿宋_GB2312" w:cs="仿宋_GB2312"/>
                <w:sz w:val="21"/>
                <w:szCs w:val="21"/>
              </w:rPr>
              <w:t>家，重点检查占计划总数的</w:t>
            </w:r>
            <w:r>
              <w:rPr>
                <w:rFonts w:hint="eastAsia" w:ascii="仿宋_GB2312" w:hAnsi="仿宋_GB2312" w:eastAsia="仿宋_GB2312" w:cs="仿宋_GB2312"/>
                <w:sz w:val="21"/>
                <w:szCs w:val="21"/>
                <w:lang w:val="en-US" w:eastAsia="zh-CN"/>
              </w:rPr>
              <w:t>8</w:t>
            </w:r>
            <w:r>
              <w:rPr>
                <w:rFonts w:hint="eastAsia" w:cs="仿宋_GB2312"/>
                <w:sz w:val="21"/>
                <w:szCs w:val="21"/>
                <w:lang w:val="en-US" w:eastAsia="zh-CN"/>
              </w:rPr>
              <w:t>0</w:t>
            </w:r>
            <w:r>
              <w:rPr>
                <w:rFonts w:hint="eastAsia" w:ascii="仿宋_GB2312" w:hAnsi="仿宋_GB2312" w:eastAsia="仿宋_GB2312" w:cs="仿宋_GB2312"/>
                <w:sz w:val="21"/>
                <w:szCs w:val="21"/>
                <w:lang w:val="en-US" w:eastAsia="zh-CN"/>
              </w:rPr>
              <w:t>.</w:t>
            </w:r>
            <w:r>
              <w:rPr>
                <w:rFonts w:hint="eastAsia" w:cs="仿宋_GB2312"/>
                <w:sz w:val="21"/>
                <w:szCs w:val="21"/>
                <w:lang w:val="en-US" w:eastAsia="zh-CN"/>
              </w:rPr>
              <w:t>8</w:t>
            </w:r>
            <w:r>
              <w:rPr>
                <w:rFonts w:hint="eastAsia" w:ascii="仿宋_GB2312" w:hAnsi="仿宋_GB2312" w:eastAsia="仿宋_GB2312" w:cs="仿宋_GB2312"/>
                <w:sz w:val="21"/>
                <w:szCs w:val="21"/>
              </w:rPr>
              <w:t>%</w:t>
            </w:r>
            <w:r>
              <w:rPr>
                <w:rFonts w:hint="eastAsia" w:cs="仿宋_GB2312"/>
                <w:sz w:val="21"/>
                <w:szCs w:val="21"/>
                <w:lang w:eastAsia="zh-CN"/>
              </w:rPr>
              <w:t>；</w:t>
            </w:r>
            <w:r>
              <w:rPr>
                <w:rFonts w:hint="eastAsia" w:ascii="仿宋_GB2312" w:hAnsi="仿宋_GB2312" w:eastAsia="仿宋_GB2312" w:cs="仿宋_GB2312"/>
                <w:sz w:val="21"/>
                <w:szCs w:val="21"/>
              </w:rPr>
              <w:t>一般检查</w:t>
            </w:r>
            <w:r>
              <w:rPr>
                <w:rFonts w:hint="eastAsia" w:ascii="仿宋_GB2312" w:hAnsi="仿宋_GB2312" w:eastAsia="仿宋_GB2312" w:cs="仿宋_GB2312"/>
                <w:sz w:val="21"/>
                <w:szCs w:val="21"/>
                <w:lang w:val="en-US" w:eastAsia="zh-CN"/>
              </w:rPr>
              <w:t>2</w:t>
            </w:r>
            <w:r>
              <w:rPr>
                <w:rFonts w:hint="eastAsia" w:cs="仿宋_GB2312"/>
                <w:sz w:val="21"/>
                <w:szCs w:val="21"/>
                <w:lang w:val="en-US" w:eastAsia="zh-CN"/>
              </w:rPr>
              <w:t>8</w:t>
            </w:r>
            <w:r>
              <w:rPr>
                <w:rFonts w:hint="eastAsia" w:ascii="仿宋_GB2312" w:hAnsi="仿宋_GB2312" w:eastAsia="仿宋_GB2312" w:cs="仿宋_GB2312"/>
                <w:sz w:val="21"/>
                <w:szCs w:val="21"/>
              </w:rPr>
              <w:t>家，重点检查占计划总数的</w:t>
            </w:r>
            <w:r>
              <w:rPr>
                <w:rFonts w:hint="eastAsia" w:cs="仿宋_GB2312"/>
                <w:sz w:val="21"/>
                <w:szCs w:val="21"/>
                <w:lang w:val="en-US" w:eastAsia="zh-CN"/>
              </w:rPr>
              <w:t>19</w:t>
            </w:r>
            <w:r>
              <w:rPr>
                <w:rFonts w:hint="eastAsia" w:ascii="仿宋_GB2312" w:hAnsi="仿宋_GB2312" w:eastAsia="仿宋_GB2312" w:cs="仿宋_GB2312"/>
                <w:sz w:val="21"/>
                <w:szCs w:val="21"/>
                <w:lang w:val="en-US" w:eastAsia="zh-CN"/>
              </w:rPr>
              <w:t>.</w:t>
            </w:r>
            <w:r>
              <w:rPr>
                <w:rFonts w:hint="eastAsia" w:cs="仿宋_GB2312"/>
                <w:sz w:val="21"/>
                <w:szCs w:val="21"/>
                <w:lang w:val="en-US" w:eastAsia="zh-CN"/>
              </w:rPr>
              <w:t>2</w:t>
            </w:r>
            <w:r>
              <w:rPr>
                <w:rFonts w:hint="eastAsia" w:ascii="仿宋_GB2312" w:hAnsi="仿宋_GB2312" w:eastAsia="仿宋_GB2312" w:cs="仿宋_GB2312"/>
                <w:sz w:val="21"/>
                <w:szCs w:val="21"/>
              </w:rPr>
              <w:t>%</w:t>
            </w:r>
            <w:r>
              <w:rPr>
                <w:rFonts w:hint="eastAsia" w:cs="仿宋_GB2312"/>
                <w:sz w:val="21"/>
                <w:szCs w:val="21"/>
                <w:lang w:eastAsia="zh-CN"/>
              </w:rPr>
              <w:t>。</w:t>
            </w:r>
          </w:p>
        </w:tc>
      </w:tr>
    </w:tbl>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bidi w:val="0"/>
        <w:spacing w:line="560" w:lineRule="exact"/>
        <w:jc w:val="both"/>
        <w:rPr>
          <w:rFonts w:hint="eastAsia" w:ascii="仿宋_GB2312" w:hAnsi="仿宋_GB2312" w:eastAsia="仿宋_GB2312" w:cs="仿宋_GB2312"/>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276" w:firstLineChars="100"/>
        <w:jc w:val="both"/>
        <w:textAlignment w:val="auto"/>
        <w:rPr>
          <w:rFonts w:hint="eastAsia" w:ascii="仿宋_GB2312" w:hAnsi="仿宋_GB2312" w:eastAsia="仿宋_GB2312" w:cs="仿宋_GB2312"/>
          <w:vanish/>
          <w:sz w:val="32"/>
          <w:szCs w:val="32"/>
        </w:rPr>
      </w:pPr>
      <w:r>
        <w:rPr>
          <w:rFonts w:hint="eastAsia" w:ascii="仿宋_GB2312" w:hAnsi="仿宋_GB2312" w:eastAsia="仿宋_GB2312" w:cs="仿宋_GB2312"/>
          <w:sz w:val="28"/>
          <w:szCs w:val="28"/>
        </w:rPr>
        <mc:AlternateContent>
          <mc:Choice Requires="wps">
            <w:drawing>
              <wp:anchor distT="0" distB="0" distL="113665" distR="113665" simplePos="0" relativeHeight="251660288" behindDoc="0" locked="0" layoutInCell="1" allowOverlap="1">
                <wp:simplePos x="0" y="0"/>
                <wp:positionH relativeFrom="column">
                  <wp:posOffset>45085</wp:posOffset>
                </wp:positionH>
                <wp:positionV relativeFrom="paragraph">
                  <wp:posOffset>334645</wp:posOffset>
                </wp:positionV>
                <wp:extent cx="8058785" cy="43815"/>
                <wp:effectExtent l="0" t="5080" r="18415" b="8255"/>
                <wp:wrapNone/>
                <wp:docPr id="1" name="直接连接符 4"/>
                <wp:cNvGraphicFramePr/>
                <a:graphic xmlns:a="http://schemas.openxmlformats.org/drawingml/2006/main">
                  <a:graphicData uri="http://schemas.microsoft.com/office/word/2010/wordprocessingShape">
                    <wps:wsp>
                      <wps:cNvCnPr/>
                      <wps:spPr>
                        <a:xfrm>
                          <a:off x="0" y="0"/>
                          <a:ext cx="8058785" cy="43815"/>
                        </a:xfrm>
                        <a:prstGeom prst="line">
                          <a:avLst/>
                        </a:prstGeom>
                        <a:noFill/>
                        <a:ln w="1016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3.55pt;margin-top:26.35pt;height:3.45pt;width:634.55pt;z-index:251660288;mso-width-relative:page;mso-height-relative:page;" filled="f" stroked="t" coordsize="21600,21600" o:gfxdata="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azOy&#10;1QAAAAgBAAAPAAAAAAAAAAEAIAAAACIAAABkcnMvZG93bnJldi54bWxQSwECFAAUAAAACACHTuJA&#10;EIyfvCQCAAArBAAADgAAAAAAAAABACAAAAAkAQAAZHJzL2Uyb0RvYy54bWxQSwUGAAAAAAYABgBZ&#10;AQAAugUAAAAA&#10;">
                <v:fill on="f" focussize="0,0"/>
                <v:stroke weight="0.8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3665" distR="113665" simplePos="0" relativeHeight="251660288" behindDoc="0" locked="0" layoutInCell="1" allowOverlap="1">
                <wp:simplePos x="0" y="0"/>
                <wp:positionH relativeFrom="column">
                  <wp:posOffset>53340</wp:posOffset>
                </wp:positionH>
                <wp:positionV relativeFrom="paragraph">
                  <wp:posOffset>13335</wp:posOffset>
                </wp:positionV>
                <wp:extent cx="8037830" cy="26035"/>
                <wp:effectExtent l="0" t="5080" r="1270" b="6985"/>
                <wp:wrapNone/>
                <wp:docPr id="2" name="直接连接符 5"/>
                <wp:cNvGraphicFramePr/>
                <a:graphic xmlns:a="http://schemas.openxmlformats.org/drawingml/2006/main">
                  <a:graphicData uri="http://schemas.microsoft.com/office/word/2010/wordprocessingShape">
                    <wps:wsp>
                      <wps:cNvCnPr/>
                      <wps:spPr>
                        <a:xfrm>
                          <a:off x="0" y="0"/>
                          <a:ext cx="8037830" cy="26035"/>
                        </a:xfrm>
                        <a:prstGeom prst="line">
                          <a:avLst/>
                        </a:prstGeom>
                        <a:noFill/>
                        <a:ln w="1016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5" o:spid="_x0000_s1026" o:spt="20" style="position:absolute;left:0pt;margin-left:4.2pt;margin-top:1.05pt;height:2.05pt;width:632.9pt;z-index:251660288;mso-width-relative:page;mso-height-relative:page;" filled="f" stroked="t" coordsize="21600,21600" o:gfxdata="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AjdGnTAAAA&#10;BgEAAA8AAAAAAAAAAQAgAAAAIgAAAGRycy9kb3ducmV2LnhtbFBLAQIUABQAAAAIAIdO4kDHVEKQ&#10;IgIAACsEAAAOAAAAAAAAAAEAIAAAACIBAABkcnMvZTJvRG9jLnhtbFBLBQYAAAAABgAGAFkBAAC2&#10;BQAAAAA=&#10;">
                <v:fill on="f" focussize="0,0"/>
                <v:stroke weight="0.8pt" color="#000000" joinstyle="round"/>
                <v:imagedata o:title=""/>
                <o:lock v:ext="edit" aspectratio="f"/>
              </v:line>
            </w:pict>
          </mc:Fallback>
        </mc:AlternateContent>
      </w:r>
      <w:r>
        <w:rPr>
          <w:rFonts w:hint="eastAsia" w:ascii="仿宋_GB2312" w:hAnsi="仿宋_GB2312" w:eastAsia="仿宋_GB2312" w:cs="仿宋_GB2312"/>
          <w:sz w:val="28"/>
          <w:szCs w:val="28"/>
        </w:rPr>
        <w:t>昌黎县应急管理局</w:t>
      </w:r>
      <w:r>
        <w:rPr>
          <w:rFonts w:hint="eastAsia" w:ascii="仿宋_GB2312" w:hAnsi="仿宋_GB2312" w:eastAsia="仿宋_GB2312" w:cs="仿宋_GB2312"/>
          <w:sz w:val="28"/>
          <w:szCs w:val="28"/>
          <w:lang w:val="en-US" w:eastAsia="zh-CN"/>
        </w:rPr>
        <w:t xml:space="preserve">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cs="仿宋_GB2312"/>
          <w:sz w:val="28"/>
          <w:szCs w:val="28"/>
          <w:lang w:val="en-US" w:eastAsia="zh-CN"/>
        </w:rPr>
        <w:t>2</w:t>
      </w:r>
      <w:r>
        <w:rPr>
          <w:rFonts w:hint="eastAsia" w:ascii="仿宋_GB2312" w:hAnsi="仿宋_GB2312" w:eastAsia="仿宋_GB2312" w:cs="仿宋_GB2312"/>
          <w:sz w:val="28"/>
          <w:szCs w:val="28"/>
        </w:rPr>
        <w:t>月</w:t>
      </w:r>
      <w:r>
        <w:rPr>
          <w:rFonts w:hint="eastAsia" w:cs="仿宋_GB2312"/>
          <w:sz w:val="28"/>
          <w:szCs w:val="28"/>
          <w:lang w:val="en-US" w:eastAsia="zh-CN"/>
        </w:rPr>
        <w:t>6</w:t>
      </w:r>
      <w:r>
        <w:rPr>
          <w:rFonts w:hint="eastAsia" w:ascii="仿宋_GB2312" w:hAnsi="仿宋_GB2312" w:eastAsia="仿宋_GB2312" w:cs="仿宋_GB2312"/>
          <w:sz w:val="28"/>
          <w:szCs w:val="28"/>
        </w:rPr>
        <w:t>日印</w:t>
      </w:r>
    </w:p>
    <w:sectPr>
      <w:headerReference r:id="rId5" w:type="default"/>
      <w:footerReference r:id="rId6" w:type="default"/>
      <w:pgSz w:w="16838" w:h="11906" w:orient="landscape"/>
      <w:pgMar w:top="1587" w:right="2098" w:bottom="1474" w:left="1984"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宋体" w:hAns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57200" cy="147955"/>
              <wp:effectExtent l="0" t="0" r="0" b="0"/>
              <wp:wrapNone/>
              <wp:docPr id="4" name="文本框 2"/>
              <wp:cNvGraphicFramePr/>
              <a:graphic xmlns:a="http://schemas.openxmlformats.org/drawingml/2006/main">
                <a:graphicData uri="http://schemas.microsoft.com/office/word/2010/wordprocessingShape">
                  <wps:wsp>
                    <wps:cNvSpPr/>
                    <wps:spPr>
                      <a:xfrm>
                        <a:off x="0" y="0"/>
                        <a:ext cx="457200" cy="148018"/>
                      </a:xfrm>
                      <a:prstGeom prst="rect">
                        <a:avLst/>
                      </a:prstGeom>
                      <a:noFill/>
                      <a:ln w="6350" cap="flat" cmpd="sng">
                        <a:noFill/>
                        <a:prstDash val="solid"/>
                        <a:round/>
                      </a:ln>
                    </wps:spPr>
                    <wps:txbx>
                      <w:txbxContent>
                        <w:p>
                          <w:pPr>
                            <w:pStyle w:val="7"/>
                            <w:rPr>
                              <w:rFonts w:hint="eastAsia" w:eastAsia="宋体"/>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65pt;width:36pt;mso-position-horizontal:outside;mso-position-horizontal-relative:margin;mso-wrap-style:none;z-index:251659264;mso-width-relative:page;mso-height-relative:page;" filled="f" stroked="f" coordsize="21600,21600" o:gfxdata="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MdBENYAAAADAQAADwAAAAAAAAABACAAAAAiAAAAZHJzL2Rv&#10;d25yZXYueG1sUEsBAhQAFAAAAAgAh07iQCH5y30DAgAA9AMAAA4AAAAAAAAAAQAgAAAAJQEAAGRy&#10;cy9lMm9Eb2MueG1sUEsFBgAAAAAGAAYAWQEAAJoFAAAAAA==&#10;">
              <v:fill on="f" focussize="0,0"/>
              <v:stroke on="f" weight="0.5pt" joinstyle="round"/>
              <v:imagedata o:title=""/>
              <o:lock v:ext="edit" aspectratio="f"/>
              <v:textbox inset="0mm,0mm,0mm,0mm" style="mso-fit-shape-to-text:t;">
                <w:txbxContent>
                  <w:p>
                    <w:pPr>
                      <w:pStyle w:val="7"/>
                      <w:rPr>
                        <w:rFonts w:hint="eastAsia" w:eastAsia="宋体"/>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宋体" w:hAns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5720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457200" cy="147955"/>
                      </a:xfrm>
                      <a:prstGeom prst="rect">
                        <a:avLst/>
                      </a:prstGeom>
                      <a:noFill/>
                      <a:ln w="6350" cap="flat" cmpd="sng">
                        <a:noFill/>
                        <a:prstDash val="solid"/>
                        <a:round/>
                      </a:ln>
                    </wps:spPr>
                    <wps:txbx>
                      <w:txbxContent>
                        <w:p>
                          <w:pPr>
                            <w:pStyle w:val="7"/>
                            <w:rPr>
                              <w:rFonts w:hint="eastAsia" w:eastAsia="宋体"/>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65pt;width:36pt;mso-position-horizontal:outside;mso-position-horizontal-relative:margin;mso-wrap-style:none;z-index:251659264;mso-width-relative:page;mso-height-relative:page;" filled="f" stroked="f" coordsize="21600,21600" o:gfxdata="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MdBENYAAAADAQAADwAAAAAAAAABACAAAAAiAAAAZHJzL2Rv&#10;d25yZXYueG1sUEsBAhQAFAAAAAgAh07iQEHSXocDAgAA9AMAAA4AAAAAAAAAAQAgAAAAJQEAAGRy&#10;cy9lMm9Eb2MueG1sUEsFBgAAAAAGAAYAWQEAAJoFAAAAAA==&#10;">
              <v:fill on="f" focussize="0,0"/>
              <v:stroke on="f" weight="0.5pt" joinstyle="round"/>
              <v:imagedata o:title=""/>
              <o:lock v:ext="edit" aspectratio="f"/>
              <v:textbox inset="0mm,0mm,0mm,0mm" style="mso-fit-shape-to-text:t;">
                <w:txbxContent>
                  <w:p>
                    <w:pPr>
                      <w:pStyle w:val="7"/>
                      <w:rPr>
                        <w:rFonts w:hint="eastAsia" w:eastAsia="宋体"/>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36B44"/>
    <w:multiLevelType w:val="singleLevel"/>
    <w:tmpl w:val="A4436B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
  <w:rsids>
    <w:rsidRoot w:val="00000000"/>
    <w:rsid w:val="0085221D"/>
    <w:rsid w:val="00AD558A"/>
    <w:rsid w:val="02572AE5"/>
    <w:rsid w:val="03D270B5"/>
    <w:rsid w:val="0451287C"/>
    <w:rsid w:val="04E07C24"/>
    <w:rsid w:val="05486CF4"/>
    <w:rsid w:val="058D2A84"/>
    <w:rsid w:val="05C55D30"/>
    <w:rsid w:val="06FA660F"/>
    <w:rsid w:val="0A360B6D"/>
    <w:rsid w:val="0C191D25"/>
    <w:rsid w:val="0C9D4705"/>
    <w:rsid w:val="0CDD2D53"/>
    <w:rsid w:val="0D43553D"/>
    <w:rsid w:val="0D5374B9"/>
    <w:rsid w:val="0DF66E74"/>
    <w:rsid w:val="0E432976"/>
    <w:rsid w:val="0EEB43BB"/>
    <w:rsid w:val="10220E80"/>
    <w:rsid w:val="10FC6B92"/>
    <w:rsid w:val="151E215B"/>
    <w:rsid w:val="157C570A"/>
    <w:rsid w:val="169F502C"/>
    <w:rsid w:val="173D72CC"/>
    <w:rsid w:val="17914E66"/>
    <w:rsid w:val="17A00294"/>
    <w:rsid w:val="18763797"/>
    <w:rsid w:val="1F654FAF"/>
    <w:rsid w:val="213715CD"/>
    <w:rsid w:val="221B32F3"/>
    <w:rsid w:val="221E7F8E"/>
    <w:rsid w:val="23A84402"/>
    <w:rsid w:val="24890193"/>
    <w:rsid w:val="266D67CE"/>
    <w:rsid w:val="26AA099E"/>
    <w:rsid w:val="287E31E4"/>
    <w:rsid w:val="298A5BB9"/>
    <w:rsid w:val="2B91643E"/>
    <w:rsid w:val="2BAE3DE1"/>
    <w:rsid w:val="2D713318"/>
    <w:rsid w:val="2DC866C3"/>
    <w:rsid w:val="2DEA5B9A"/>
    <w:rsid w:val="310740D4"/>
    <w:rsid w:val="31672343"/>
    <w:rsid w:val="317C672F"/>
    <w:rsid w:val="322B37C3"/>
    <w:rsid w:val="33245299"/>
    <w:rsid w:val="33A93A60"/>
    <w:rsid w:val="356E638F"/>
    <w:rsid w:val="35F35B67"/>
    <w:rsid w:val="36E51F4E"/>
    <w:rsid w:val="372D7509"/>
    <w:rsid w:val="377A5E33"/>
    <w:rsid w:val="382C2788"/>
    <w:rsid w:val="38CA494E"/>
    <w:rsid w:val="39B27192"/>
    <w:rsid w:val="3A9932B0"/>
    <w:rsid w:val="3A995C5C"/>
    <w:rsid w:val="3D45031D"/>
    <w:rsid w:val="3E014244"/>
    <w:rsid w:val="3E320BFD"/>
    <w:rsid w:val="3EFB5137"/>
    <w:rsid w:val="3F47212A"/>
    <w:rsid w:val="3FA0645E"/>
    <w:rsid w:val="3FED6E89"/>
    <w:rsid w:val="43231EE9"/>
    <w:rsid w:val="447253F1"/>
    <w:rsid w:val="45B55578"/>
    <w:rsid w:val="46C357B2"/>
    <w:rsid w:val="48D97AE1"/>
    <w:rsid w:val="4B6C3176"/>
    <w:rsid w:val="4BCF1B14"/>
    <w:rsid w:val="4C512B7B"/>
    <w:rsid w:val="4CF82CB6"/>
    <w:rsid w:val="4D626381"/>
    <w:rsid w:val="4D6A3BC7"/>
    <w:rsid w:val="4DA100EC"/>
    <w:rsid w:val="4EE206B5"/>
    <w:rsid w:val="4F8D3026"/>
    <w:rsid w:val="5042188F"/>
    <w:rsid w:val="50DA39CF"/>
    <w:rsid w:val="51063016"/>
    <w:rsid w:val="5111063F"/>
    <w:rsid w:val="51D51D34"/>
    <w:rsid w:val="52157E66"/>
    <w:rsid w:val="536777EC"/>
    <w:rsid w:val="549C1469"/>
    <w:rsid w:val="54C12E33"/>
    <w:rsid w:val="56EB73E7"/>
    <w:rsid w:val="5742311B"/>
    <w:rsid w:val="58534D1E"/>
    <w:rsid w:val="590A59C3"/>
    <w:rsid w:val="5BD5396D"/>
    <w:rsid w:val="5C166CB5"/>
    <w:rsid w:val="5D1D4997"/>
    <w:rsid w:val="5E7254DD"/>
    <w:rsid w:val="5E7708C8"/>
    <w:rsid w:val="5EF33755"/>
    <w:rsid w:val="5F1B77C1"/>
    <w:rsid w:val="60CC64DC"/>
    <w:rsid w:val="61472A5A"/>
    <w:rsid w:val="617F52FC"/>
    <w:rsid w:val="63164E21"/>
    <w:rsid w:val="64D33A24"/>
    <w:rsid w:val="67E059C9"/>
    <w:rsid w:val="6845764F"/>
    <w:rsid w:val="68FC366B"/>
    <w:rsid w:val="694F38F4"/>
    <w:rsid w:val="695C0129"/>
    <w:rsid w:val="6A3B6111"/>
    <w:rsid w:val="6A79024F"/>
    <w:rsid w:val="6AE6019A"/>
    <w:rsid w:val="6CC54BBE"/>
    <w:rsid w:val="6D893A95"/>
    <w:rsid w:val="6EA53115"/>
    <w:rsid w:val="6EEC534F"/>
    <w:rsid w:val="6EFB5A89"/>
    <w:rsid w:val="6FD96C6B"/>
    <w:rsid w:val="6FE92FB6"/>
    <w:rsid w:val="71C53227"/>
    <w:rsid w:val="71F118FE"/>
    <w:rsid w:val="72084E9A"/>
    <w:rsid w:val="725B321B"/>
    <w:rsid w:val="729A3D44"/>
    <w:rsid w:val="730E4B34"/>
    <w:rsid w:val="7386076C"/>
    <w:rsid w:val="73A554AD"/>
    <w:rsid w:val="742A7349"/>
    <w:rsid w:val="75DD76E0"/>
    <w:rsid w:val="76430355"/>
    <w:rsid w:val="77930F90"/>
    <w:rsid w:val="77D311C4"/>
    <w:rsid w:val="77FF6F57"/>
    <w:rsid w:val="797B6EE2"/>
    <w:rsid w:val="7B1042DA"/>
    <w:rsid w:val="7B914152"/>
    <w:rsid w:val="7CD82038"/>
    <w:rsid w:val="7D4278A5"/>
    <w:rsid w:val="7EDF0482"/>
    <w:rsid w:val="7F7B4EFD"/>
    <w:rsid w:val="7FAA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eastAsia="仿宋" w:cs="Courier New"/>
      <w:sz w:val="34"/>
      <w:szCs w:val="21"/>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cs="Times New Roman"/>
      <w:b/>
      <w:bCs/>
    </w:rPr>
  </w:style>
  <w:style w:type="character" w:styleId="15">
    <w:name w:val="footnote reference"/>
    <w:basedOn w:val="13"/>
    <w:qFormat/>
    <w:uiPriority w:val="0"/>
    <w:rPr>
      <w:vertAlign w:val="superscript"/>
    </w:rPr>
  </w:style>
  <w:style w:type="paragraph" w:customStyle="1" w:styleId="16">
    <w:name w:val="纯文本1"/>
    <w:basedOn w:val="1"/>
    <w:qFormat/>
    <w:uiPriority w:val="0"/>
    <w:rPr>
      <w:rFonts w:ascii="宋体" w:hAnsi="宋体" w:eastAsia="仿宋" w:cs="Courier New"/>
      <w:sz w:val="34"/>
      <w:szCs w:val="21"/>
    </w:rPr>
  </w:style>
  <w:style w:type="paragraph" w:customStyle="1" w:styleId="17">
    <w:name w:val="Body Text First Indent1"/>
    <w:basedOn w:val="6"/>
    <w:next w:val="1"/>
    <w:qFormat/>
    <w:uiPriority w:val="0"/>
    <w:pPr>
      <w:spacing w:line="578" w:lineRule="exact"/>
      <w:ind w:firstLine="200" w:firstLineChars="200"/>
    </w:pPr>
    <w:rPr>
      <w:rFonts w:ascii="Calibri" w:hAnsi="Calibri" w:eastAsia="仿宋"/>
      <w:sz w:val="32"/>
    </w:rPr>
  </w:style>
  <w:style w:type="paragraph" w:customStyle="1" w:styleId="18">
    <w:name w:val="UserStyle_0"/>
    <w:basedOn w:val="1"/>
    <w:next w:val="1"/>
    <w:qFormat/>
    <w:uiPriority w:val="0"/>
    <w:pPr>
      <w:ind w:firstLine="200" w:firstLineChars="200"/>
      <w:jc w:val="left"/>
    </w:pPr>
    <w:rPr>
      <w:rFonts w:eastAsia="仿宋_GB2312"/>
    </w:rPr>
  </w:style>
  <w:style w:type="character" w:customStyle="1" w:styleId="19">
    <w:name w:val="font11"/>
    <w:basedOn w:val="13"/>
    <w:qFormat/>
    <w:uiPriority w:val="0"/>
    <w:rPr>
      <w:rFonts w:ascii="仿宋_GB2312" w:hAnsi="Times New Roman" w:eastAsia="仿宋_GB2312"/>
      <w:color w:val="000000"/>
      <w:sz w:val="32"/>
    </w:rPr>
  </w:style>
  <w:style w:type="character" w:customStyle="1" w:styleId="20">
    <w:name w:val="font01"/>
    <w:basedOn w:val="13"/>
    <w:qFormat/>
    <w:uiPriority w:val="0"/>
    <w:rPr>
      <w:rFonts w:ascii="宋体" w:hAnsi="宋体" w:eastAsia="宋体"/>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0FA0F-67BF-49AB-8878-49CA1B8587CA}">
  <ds:schemaRefs/>
</ds:datastoreItem>
</file>

<file path=docProps/app.xml><?xml version="1.0" encoding="utf-8"?>
<Properties xmlns="http://schemas.openxmlformats.org/officeDocument/2006/extended-properties" xmlns:vt="http://schemas.openxmlformats.org/officeDocument/2006/docPropsVTypes">
  <Template>Normal.eit</Template>
  <Pages>38</Pages>
  <Words>16099</Words>
  <Characters>16786</Characters>
  <Lines>0</Lines>
  <Paragraphs>377</Paragraphs>
  <TotalTime>36</TotalTime>
  <ScaleCrop>false</ScaleCrop>
  <LinksUpToDate>false</LinksUpToDate>
  <CharactersWithSpaces>16897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2024-12-19T07:32:00Z</dcterms:created>
  <dc:creator>Administrator</dc:creator>
  <cp:lastModifiedBy>Administrator</cp:lastModifiedBy>
  <cp:lastPrinted>2025-12-27T01:25:00Z</cp:lastPrinted>
  <dcterms:modified xsi:type="dcterms:W3CDTF">2026-04-22T09:26:57Z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eyJoZGlkIjoiMzA4NGU4ZWM0NjQ0NjliODRhODBjN2Q4YmEyZWM0NzciLCJ1c2VySWQiOiI0NjA2OTE5NjYifQ==</vt:lpwstr>
  </property>
  <property fmtid="{D5CDD505-2E9C-101B-9397-08002B2CF9AE}" pid="4" name="ICV">
    <vt:lpwstr>497078234FE04936B433D1207BD421ED_13</vt:lpwstr>
  </property>
</Properties>
</file>