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rPr>
          <w:rFonts w:hint="eastAsia" w:ascii="楷体_GB2312" w:hAnsi="楷体_GB2312" w:eastAsia="楷体_GB2312" w:cs="楷体_GB2312"/>
        </w:rPr>
      </w:pPr>
      <w:r>
        <w:rPr>
          <w:rFonts w:hint="eastAsia" w:ascii="楷体_GB2312" w:hAnsi="楷体_GB2312" w:eastAsia="楷体_GB2312" w:cs="楷体_GB2312"/>
          <w:b/>
          <w:color w:val="000000"/>
          <w:sz w:val="28"/>
        </w:rPr>
        <w:t>部门预算公开表</w:t>
      </w:r>
    </w:p>
    <w:p>
      <w:pPr>
        <w:pStyle w:val="3"/>
        <w:tabs>
          <w:tab w:val="right" w:leader="dot" w:pos="14562"/>
        </w:tabs>
        <w:rPr>
          <w:rFonts w:hint="eastAsia" w:ascii="仿宋_GB2312" w:hAnsi="仿宋_GB2312" w:eastAsia="仿宋_GB2312" w:cs="仿宋_GB2312"/>
        </w:rPr>
      </w:pPr>
      <w:r>
        <w:fldChar w:fldCharType="begin"/>
      </w:r>
      <w:r>
        <w:instrText xml:space="preserve">TOC \o "2-2" \h \z \u</w:instrText>
      </w:r>
      <w:r>
        <w:fldChar w:fldCharType="separate"/>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_Toc_2_2_0000000001</w:instrText>
      </w:r>
      <w:r>
        <w:rPr>
          <w:rFonts w:hint="eastAsia" w:ascii="仿宋_GB2312" w:hAnsi="仿宋_GB2312" w:eastAsia="仿宋_GB2312" w:cs="仿宋_GB2312"/>
        </w:rPr>
        <w:fldChar w:fldCharType="separate"/>
      </w:r>
      <w:r>
        <w:rPr>
          <w:rFonts w:hint="eastAsia" w:ascii="仿宋_GB2312" w:hAnsi="仿宋_GB2312" w:eastAsia="仿宋_GB2312" w:cs="仿宋_GB2312"/>
        </w:rPr>
        <w:t>部门预算收支总表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_Toc_2_2_0000000001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_Toc_2_2_0000000002</w:instrText>
      </w:r>
      <w:r>
        <w:rPr>
          <w:rFonts w:hint="eastAsia" w:ascii="仿宋_GB2312" w:hAnsi="仿宋_GB2312" w:eastAsia="仿宋_GB2312" w:cs="仿宋_GB2312"/>
        </w:rPr>
        <w:fldChar w:fldCharType="separate"/>
      </w:r>
      <w:r>
        <w:rPr>
          <w:rFonts w:hint="eastAsia" w:ascii="仿宋_GB2312" w:hAnsi="仿宋_GB2312" w:eastAsia="仿宋_GB2312" w:cs="仿宋_GB2312"/>
        </w:rPr>
        <w:t>部门预算收入总表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_Toc_2_2_0000000002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_Toc_2_2_0000000003</w:instrText>
      </w:r>
      <w:r>
        <w:rPr>
          <w:rFonts w:hint="eastAsia" w:ascii="仿宋_GB2312" w:hAnsi="仿宋_GB2312" w:eastAsia="仿宋_GB2312" w:cs="仿宋_GB2312"/>
        </w:rPr>
        <w:fldChar w:fldCharType="separate"/>
      </w:r>
      <w:r>
        <w:rPr>
          <w:rFonts w:hint="eastAsia" w:ascii="仿宋_GB2312" w:hAnsi="仿宋_GB2312" w:eastAsia="仿宋_GB2312" w:cs="仿宋_GB2312"/>
        </w:rPr>
        <w:t>部门预算支出总表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_Toc_2_2_0000000003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_Toc_2_2_0000000004</w:instrText>
      </w:r>
      <w:r>
        <w:rPr>
          <w:rFonts w:hint="eastAsia" w:ascii="仿宋_GB2312" w:hAnsi="仿宋_GB2312" w:eastAsia="仿宋_GB2312" w:cs="仿宋_GB2312"/>
        </w:rPr>
        <w:fldChar w:fldCharType="separate"/>
      </w:r>
      <w:r>
        <w:rPr>
          <w:rFonts w:hint="eastAsia" w:ascii="仿宋_GB2312" w:hAnsi="仿宋_GB2312" w:eastAsia="仿宋_GB2312" w:cs="仿宋_GB2312"/>
        </w:rPr>
        <w:t>部门预算财政拨款收支总表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_Toc_2_2_0000000004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_Toc_2_2_0000000005</w:instrText>
      </w:r>
      <w:r>
        <w:rPr>
          <w:rFonts w:hint="eastAsia" w:ascii="仿宋_GB2312" w:hAnsi="仿宋_GB2312" w:eastAsia="仿宋_GB2312" w:cs="仿宋_GB2312"/>
        </w:rPr>
        <w:fldChar w:fldCharType="separate"/>
      </w:r>
      <w:r>
        <w:rPr>
          <w:rFonts w:hint="eastAsia" w:ascii="仿宋_GB2312" w:hAnsi="仿宋_GB2312" w:eastAsia="仿宋_GB2312" w:cs="仿宋_GB2312"/>
        </w:rPr>
        <w:t>部门预算一般公共预算财政拨款支出表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_Toc_2_2_0000000005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_Toc_2_2_0000000006</w:instrText>
      </w:r>
      <w:r>
        <w:rPr>
          <w:rFonts w:hint="eastAsia" w:ascii="仿宋_GB2312" w:hAnsi="仿宋_GB2312" w:eastAsia="仿宋_GB2312" w:cs="仿宋_GB2312"/>
        </w:rPr>
        <w:fldChar w:fldCharType="separate"/>
      </w:r>
      <w:r>
        <w:rPr>
          <w:rFonts w:hint="eastAsia" w:ascii="仿宋_GB2312" w:hAnsi="仿宋_GB2312" w:eastAsia="仿宋_GB2312" w:cs="仿宋_GB2312"/>
        </w:rPr>
        <w:t>部门预算一般公共预算财政拨款基本支出表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_Toc_2_2_0000000006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_Toc_2_2_0000000007</w:instrText>
      </w:r>
      <w:r>
        <w:rPr>
          <w:rFonts w:hint="eastAsia" w:ascii="仿宋_GB2312" w:hAnsi="仿宋_GB2312" w:eastAsia="仿宋_GB2312" w:cs="仿宋_GB2312"/>
        </w:rPr>
        <w:fldChar w:fldCharType="separate"/>
      </w:r>
      <w:r>
        <w:rPr>
          <w:rFonts w:hint="eastAsia" w:ascii="仿宋_GB2312" w:hAnsi="仿宋_GB2312" w:eastAsia="仿宋_GB2312" w:cs="仿宋_GB2312"/>
        </w:rPr>
        <w:t>部门预算政府性基金预算财政拨款支出表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_Toc_2_2_0000000007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_Toc_2_2_0000000008</w:instrText>
      </w:r>
      <w:r>
        <w:rPr>
          <w:rFonts w:hint="eastAsia" w:ascii="仿宋_GB2312" w:hAnsi="仿宋_GB2312" w:eastAsia="仿宋_GB2312" w:cs="仿宋_GB2312"/>
        </w:rPr>
        <w:fldChar w:fldCharType="separate"/>
      </w:r>
      <w:r>
        <w:rPr>
          <w:rFonts w:hint="eastAsia" w:ascii="仿宋_GB2312" w:hAnsi="仿宋_GB2312" w:eastAsia="仿宋_GB2312" w:cs="仿宋_GB2312"/>
        </w:rPr>
        <w:t>部门预算国有资本经营预算财政拨款支出表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_Toc_2_2_0000000008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
        <w:tabs>
          <w:tab w:val="right" w:leader="dot" w:pos="14562"/>
        </w:tabs>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_Toc_2_2_0000000009</w:instrText>
      </w:r>
      <w:r>
        <w:rPr>
          <w:rFonts w:hint="eastAsia" w:ascii="仿宋_GB2312" w:hAnsi="仿宋_GB2312" w:eastAsia="仿宋_GB2312" w:cs="仿宋_GB2312"/>
        </w:rPr>
        <w:fldChar w:fldCharType="separate"/>
      </w:r>
      <w:r>
        <w:rPr>
          <w:rFonts w:hint="eastAsia" w:ascii="仿宋_GB2312" w:hAnsi="仿宋_GB2312" w:eastAsia="仿宋_GB2312" w:cs="仿宋_GB2312"/>
        </w:rPr>
        <w:t>部门预算财政拨款“三公”经费支出表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_Toc_2_2_0000000009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r>
        <w:fldChar w:fldCharType="end"/>
      </w:r>
    </w:p>
    <w:p>
      <w:pPr>
        <w:spacing w:before="0" w:after="0" w:line="240" w:lineRule="auto"/>
        <w:ind w:firstLine="0"/>
        <w:jc w:val="left"/>
        <w:outlineLvl w:val="9"/>
        <w:rPr>
          <w:rFonts w:hint="eastAsia" w:ascii="楷体_GB2312" w:hAnsi="楷体_GB2312" w:eastAsia="楷体_GB2312" w:cs="楷体_GB2312"/>
        </w:rPr>
      </w:pPr>
      <w:r>
        <w:rPr>
          <w:rFonts w:hint="eastAsia" w:ascii="楷体_GB2312" w:hAnsi="楷体_GB2312" w:eastAsia="楷体_GB2312" w:cs="楷体_GB2312"/>
          <w:b/>
          <w:color w:val="000000"/>
          <w:sz w:val="28"/>
        </w:rPr>
        <w:t>部门预算信息公开情况说明</w:t>
      </w:r>
    </w:p>
    <w:p>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TOC \o "3-3" \h \z \u</w:instrText>
      </w:r>
      <w:r>
        <w:rPr>
          <w:rFonts w:hint="eastAsia" w:ascii="仿宋_GB2312" w:hAnsi="仿宋_GB2312" w:eastAsia="仿宋_GB2312" w:cs="仿宋_GB2312"/>
        </w:rPr>
        <w:fldChar w:fldCharType="separate"/>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_Toc_3_3_0000000010</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一、部门职责及机构设置情况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_Toc_3_3_0000000010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_Toc_3_3_0000000011</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二、部门预算安排的总体情况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_Toc_3_3_0000000011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_Toc_3_3_0000000012</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三、机关运行经费安排情况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_Toc_3_3_0000000012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_Toc_3_3_0000000013</w:instrText>
      </w:r>
      <w:r>
        <w:rPr>
          <w:rFonts w:hint="eastAsia" w:ascii="仿宋_GB2312" w:hAnsi="仿宋_GB2312" w:eastAsia="仿宋_GB2312" w:cs="仿宋_GB2312"/>
        </w:rPr>
        <w:fldChar w:fldCharType="separate"/>
      </w:r>
      <w:r>
        <w:rPr>
          <w:rFonts w:hint="eastAsia" w:ascii="仿宋_GB2312" w:hAnsi="仿宋_GB2312" w:eastAsia="仿宋_GB2312" w:cs="仿宋_GB2312"/>
        </w:rPr>
        <w:t>四、财政拨款“三公”经费预算情况及增减变化原因</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_Toc_3_3_0000000013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_Toc_3_3_0000000014</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五、部门整体绩效目标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_Toc_3_3_0000000014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_Toc_3_3_0000000015</w:instrText>
      </w:r>
      <w:r>
        <w:rPr>
          <w:rFonts w:hint="eastAsia" w:ascii="仿宋_GB2312" w:hAnsi="仿宋_GB2312" w:eastAsia="仿宋_GB2312" w:cs="仿宋_GB2312"/>
        </w:rPr>
        <w:fldChar w:fldCharType="separate"/>
      </w:r>
      <w:r>
        <w:rPr>
          <w:rFonts w:hint="eastAsia" w:ascii="仿宋_GB2312" w:hAnsi="仿宋_GB2312" w:eastAsia="仿宋_GB2312" w:cs="仿宋_GB2312"/>
        </w:rPr>
        <w:t>六、部门主管专项资金预算安排情况及绩效目标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_Toc_3_3_0000000015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_Toc_3_3_0000000016</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七、部门项目预算安排情况及绩效目标</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_Toc_3_3_0000000016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_Toc_3_3_0000000017</w:instrText>
      </w:r>
      <w:r>
        <w:rPr>
          <w:rFonts w:hint="eastAsia" w:ascii="仿宋_GB2312" w:hAnsi="仿宋_GB2312" w:eastAsia="仿宋_GB2312" w:cs="仿宋_GB2312"/>
        </w:rPr>
        <w:fldChar w:fldCharType="separate"/>
      </w:r>
      <w:r>
        <w:rPr>
          <w:rFonts w:hint="eastAsia" w:ascii="仿宋_GB2312" w:hAnsi="仿宋_GB2312" w:eastAsia="仿宋_GB2312" w:cs="仿宋_GB2312"/>
        </w:rPr>
        <w:t>八、政府采购预算情况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_Toc_3_3_0000000017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_Toc_3_3_0000000018</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九、国有资产信息</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_Toc_3_3_0000000018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_Toc_3_3_0000000019</w:instrText>
      </w:r>
      <w:r>
        <w:rPr>
          <w:rFonts w:hint="eastAsia" w:ascii="仿宋_GB2312" w:hAnsi="仿宋_GB2312" w:eastAsia="仿宋_GB2312" w:cs="仿宋_GB2312"/>
        </w:rPr>
        <w:fldChar w:fldCharType="separate"/>
      </w:r>
      <w:r>
        <w:rPr>
          <w:rFonts w:hint="eastAsia" w:ascii="仿宋_GB2312" w:hAnsi="仿宋_GB2312" w:eastAsia="仿宋_GB2312" w:cs="仿宋_GB2312"/>
        </w:rPr>
        <w:t>十、名词解释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_Toc_3_3_0000000019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3"/>
        <w:tabs>
          <w:tab w:val="right" w:leader="dot" w:pos="14562"/>
        </w:tabs>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HYPERLINK \l _Toc_3_3_0000000020</w:instrText>
      </w:r>
      <w:r>
        <w:rPr>
          <w:rFonts w:hint="eastAsia" w:ascii="仿宋_GB2312" w:hAnsi="仿宋_GB2312" w:eastAsia="仿宋_GB2312" w:cs="仿宋_GB2312"/>
        </w:rPr>
        <w:fldChar w:fldCharType="separate"/>
      </w:r>
      <w:r>
        <w:rPr>
          <w:rFonts w:hint="eastAsia" w:ascii="仿宋_GB2312" w:hAnsi="仿宋_GB2312" w:eastAsia="仿宋_GB2312" w:cs="仿宋_GB2312"/>
        </w:rPr>
        <w:t>十一、其他需要说明的事项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PAGEREF _Toc_3_3_0000000020 \h</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23</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rPr>
          <w:rFonts w:hint="eastAsia" w:ascii="仿宋_GB2312" w:hAnsi="仿宋_GB2312" w:eastAsia="仿宋_GB2312" w:cs="仿宋_GB2312"/>
        </w:rPr>
        <w:sectPr>
          <w:pgSz w:w="16840" w:h="11900" w:orient="landscape"/>
          <w:pgMar w:top="1587" w:right="1134" w:bottom="1361" w:left="1134" w:header="720" w:footer="720" w:gutter="0"/>
          <w:pgNumType w:start="1"/>
          <w:cols w:space="720" w:num="1"/>
        </w:sectPr>
      </w:pPr>
      <w:r>
        <w:rPr>
          <w:rFonts w:hint="eastAsia" w:ascii="仿宋_GB2312" w:hAnsi="仿宋_GB2312" w:eastAsia="仿宋_GB2312" w:cs="仿宋_GB2312"/>
        </w:rPr>
        <w:fldChar w:fldCharType="end"/>
      </w:r>
    </w:p>
    <w:p>
      <w:pPr>
        <w:spacing w:before="0" w:after="0" w:line="240" w:lineRule="auto"/>
        <w:ind w:firstLine="0"/>
        <w:jc w:val="center"/>
        <w:outlineLvl w:val="1"/>
      </w:pPr>
      <w:bookmarkStart w:id="0" w:name="_Toc_2_2_0000000001"/>
      <w:r>
        <w:rPr>
          <w:rFonts w:hint="eastAsia" w:ascii="方正小标宋简体" w:hAnsi="方正小标宋简体" w:eastAsia="方正小标宋简体" w:cs="方正小标宋简体"/>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rPr>
                <w:rFonts w:hint="eastAsia" w:ascii="仿宋_GB2312" w:hAnsi="仿宋_GB2312" w:eastAsia="仿宋_GB2312" w:cs="仿宋_GB2312"/>
              </w:rPr>
            </w:pPr>
            <w:r>
              <w:rPr>
                <w:rFonts w:hint="eastAsia" w:ascii="仿宋_GB2312" w:hAnsi="仿宋_GB2312" w:eastAsia="仿宋_GB2312" w:cs="仿宋_GB2312"/>
              </w:rPr>
              <w:t>438昌黎县政府投资项目代建中心</w:t>
            </w:r>
          </w:p>
        </w:tc>
        <w:tc>
          <w:tcPr>
            <w:tcW w:w="2126" w:type="dxa"/>
            <w:tcBorders>
              <w:top w:val="single" w:color="FFFFFF" w:sz="6" w:space="0"/>
              <w:left w:val="single" w:color="FFFFFF" w:sz="6" w:space="0"/>
              <w:right w:val="single" w:color="FFFFFF" w:sz="6" w:space="0"/>
            </w:tcBorders>
            <w:vAlign w:val="center"/>
          </w:tcPr>
          <w:p>
            <w:pPr>
              <w:pStyle w:val="9"/>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6661" w:type="dxa"/>
            <w:gridSpan w:val="2"/>
            <w:tcBorders>
              <w:top w:val="single" w:color="FFFFFF" w:sz="6" w:space="0"/>
              <w:left w:val="single" w:color="FFFFFF" w:sz="6" w:space="0"/>
              <w:right w:val="single" w:color="FFFFFF" w:sz="6" w:space="0"/>
            </w:tcBorders>
            <w:vAlign w:val="center"/>
          </w:tcPr>
          <w:p>
            <w:pPr>
              <w:pStyle w:val="8"/>
              <w:rPr>
                <w:rFonts w:hint="eastAsia" w:ascii="仿宋_GB2312" w:hAnsi="仿宋_GB2312" w:eastAsia="仿宋_GB2312" w:cs="仿宋_GB2312"/>
              </w:rPr>
            </w:pPr>
            <w:r>
              <w:rPr>
                <w:rFonts w:hint="eastAsia" w:ascii="仿宋_GB2312" w:hAnsi="仿宋_GB2312" w:eastAsia="仿宋_GB2312" w:cs="仿宋_GB2312"/>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序号</w:t>
            </w:r>
          </w:p>
        </w:tc>
        <w:tc>
          <w:tcPr>
            <w:tcW w:w="6661" w:type="dxa"/>
            <w:gridSpan w:val="2"/>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收入</w:t>
            </w:r>
          </w:p>
        </w:tc>
        <w:tc>
          <w:tcPr>
            <w:tcW w:w="6661" w:type="dxa"/>
            <w:gridSpan w:val="2"/>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仿宋_GB2312" w:hAnsi="仿宋_GB2312" w:eastAsia="仿宋_GB2312" w:cs="仿宋_GB2312"/>
              </w:rPr>
            </w:pPr>
          </w:p>
        </w:tc>
        <w:tc>
          <w:tcPr>
            <w:tcW w:w="4535"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项  目</w:t>
            </w:r>
          </w:p>
        </w:tc>
        <w:tc>
          <w:tcPr>
            <w:tcW w:w="2126"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预算数</w:t>
            </w:r>
          </w:p>
        </w:tc>
        <w:tc>
          <w:tcPr>
            <w:tcW w:w="4535"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项  目</w:t>
            </w:r>
          </w:p>
        </w:tc>
        <w:tc>
          <w:tcPr>
            <w:tcW w:w="2126"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栏次</w:t>
            </w:r>
          </w:p>
        </w:tc>
        <w:tc>
          <w:tcPr>
            <w:tcW w:w="4535"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1</w:t>
            </w:r>
          </w:p>
        </w:tc>
        <w:tc>
          <w:tcPr>
            <w:tcW w:w="2126"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2</w:t>
            </w:r>
          </w:p>
        </w:tc>
        <w:tc>
          <w:tcPr>
            <w:tcW w:w="4535"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3</w:t>
            </w:r>
          </w:p>
        </w:tc>
        <w:tc>
          <w:tcPr>
            <w:tcW w:w="2126"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一、一般公共预算拨款收入</w:t>
            </w:r>
          </w:p>
        </w:tc>
        <w:tc>
          <w:tcPr>
            <w:tcW w:w="2126"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331.94</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一、一般公共服务支出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二、政府性基金预算拨款收入</w:t>
            </w: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二、外交支出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三、国有资本经营预算拨款收入</w:t>
            </w: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三、国防支出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四、财政专户管理资金收入</w:t>
            </w: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四、公共安全支出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5</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五、单位资金</w:t>
            </w: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五、教育支出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6</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六、科学技术支出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7</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七、文化旅游体育与传媒支出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8</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八、社会保障和就业支出</w:t>
            </w:r>
          </w:p>
        </w:tc>
        <w:tc>
          <w:tcPr>
            <w:tcW w:w="2126"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51.14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9</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九、社会保险基金支出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10</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十、卫生健康支出</w:t>
            </w:r>
          </w:p>
        </w:tc>
        <w:tc>
          <w:tcPr>
            <w:tcW w:w="2126"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11</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十一、节能环保支出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12</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十二、城乡社区支出</w:t>
            </w:r>
          </w:p>
        </w:tc>
        <w:tc>
          <w:tcPr>
            <w:tcW w:w="2126"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13</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十三、农林水支出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14</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十四、交通运输支出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15</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十五、资源勘探工业信息等支出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16</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十六、商业服务业等支出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17</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十七、金融支出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18</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十八、援助其他地区支出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19</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十九、自然资源海洋气象等支出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20</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二十、住房保障支出</w:t>
            </w:r>
          </w:p>
        </w:tc>
        <w:tc>
          <w:tcPr>
            <w:tcW w:w="2126"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21</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二十一、粮油物资储备支出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22</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二十二、国有资本经营预算支出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23</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二十三、灾害防治及应急管理支出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24</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二十四、预备费</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25</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二十五、其他支出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26</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二十六、转移性支出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27</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二十七、债务还本支出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28</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二十八、债务付息支出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29</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二十九、债务发行费用支出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30</w:t>
            </w:r>
          </w:p>
        </w:tc>
        <w:tc>
          <w:tcPr>
            <w:tcW w:w="4535" w:type="dxa"/>
            <w:vAlign w:val="center"/>
          </w:tcPr>
          <w:p>
            <w:pPr>
              <w:pStyle w:val="13"/>
              <w:rPr>
                <w:rFonts w:hint="eastAsia" w:ascii="仿宋_GB2312" w:hAnsi="仿宋_GB2312" w:eastAsia="仿宋_GB2312" w:cs="仿宋_GB2312"/>
              </w:rPr>
            </w:pP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三十、抗疫特别国债安排的支出</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31</w:t>
            </w:r>
          </w:p>
        </w:tc>
        <w:tc>
          <w:tcPr>
            <w:tcW w:w="4535"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本年收入合计</w:t>
            </w:r>
          </w:p>
        </w:tc>
        <w:tc>
          <w:tcPr>
            <w:tcW w:w="2126"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4535"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本年支出合计</w:t>
            </w:r>
          </w:p>
        </w:tc>
        <w:tc>
          <w:tcPr>
            <w:tcW w:w="2126"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331.94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32</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上年结转结余</w:t>
            </w:r>
          </w:p>
        </w:tc>
        <w:tc>
          <w:tcPr>
            <w:tcW w:w="2126" w:type="dxa"/>
            <w:vAlign w:val="center"/>
          </w:tcPr>
          <w:p>
            <w:pPr>
              <w:pStyle w:val="12"/>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年终结转结余</w:t>
            </w:r>
          </w:p>
        </w:tc>
        <w:tc>
          <w:tcPr>
            <w:tcW w:w="2126"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33</w:t>
            </w:r>
          </w:p>
        </w:tc>
        <w:tc>
          <w:tcPr>
            <w:tcW w:w="4535"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收入总计</w:t>
            </w:r>
          </w:p>
        </w:tc>
        <w:tc>
          <w:tcPr>
            <w:tcW w:w="2126"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4535"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支出总计</w:t>
            </w:r>
          </w:p>
        </w:tc>
        <w:tc>
          <w:tcPr>
            <w:tcW w:w="2126"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331.94</w:t>
            </w:r>
          </w:p>
        </w:tc>
      </w:tr>
    </w:tbl>
    <w:p>
      <w:pPr>
        <w:rPr>
          <w:rFonts w:hint="eastAsia" w:ascii="仿宋_GB2312" w:hAnsi="仿宋_GB2312" w:eastAsia="仿宋_GB2312" w:cs="仿宋_GB2312"/>
        </w:r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hint="eastAsia" w:ascii="方正小标宋简体" w:hAnsi="方正小标宋简体" w:eastAsia="方正小标宋简体" w:cs="方正小标宋简体"/>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rPr>
                <w:rFonts w:hint="eastAsia" w:ascii="仿宋_GB2312" w:hAnsi="仿宋_GB2312" w:eastAsia="仿宋_GB2312" w:cs="仿宋_GB2312"/>
              </w:rPr>
            </w:pPr>
            <w:r>
              <w:rPr>
                <w:rFonts w:hint="eastAsia" w:ascii="仿宋_GB2312" w:hAnsi="仿宋_GB2312" w:eastAsia="仿宋_GB2312" w:cs="仿宋_GB2312"/>
              </w:rPr>
              <w:t>438昌黎县政府投资项目代建中心</w:t>
            </w:r>
          </w:p>
        </w:tc>
        <w:tc>
          <w:tcPr>
            <w:tcW w:w="3402" w:type="dxa"/>
            <w:gridSpan w:val="3"/>
            <w:tcBorders>
              <w:top w:val="single" w:color="FFFFFF" w:sz="6" w:space="0"/>
              <w:left w:val="single" w:color="FFFFFF" w:sz="6" w:space="0"/>
              <w:right w:val="single" w:color="FFFFFF" w:sz="6" w:space="0"/>
            </w:tcBorders>
            <w:vAlign w:val="center"/>
          </w:tcPr>
          <w:p>
            <w:pPr>
              <w:pStyle w:val="9"/>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5670" w:type="dxa"/>
            <w:gridSpan w:val="5"/>
            <w:tcBorders>
              <w:top w:val="single" w:color="FFFFFF" w:sz="6" w:space="0"/>
              <w:left w:val="single" w:color="FFFFFF" w:sz="6" w:space="0"/>
              <w:right w:val="single" w:color="FFFFFF" w:sz="6" w:space="0"/>
            </w:tcBorders>
            <w:vAlign w:val="center"/>
          </w:tcPr>
          <w:p>
            <w:pPr>
              <w:pStyle w:val="8"/>
              <w:rPr>
                <w:rFonts w:hint="eastAsia" w:ascii="仿宋_GB2312" w:hAnsi="仿宋_GB2312" w:eastAsia="仿宋_GB2312" w:cs="仿宋_GB2312"/>
              </w:rPr>
            </w:pPr>
            <w:r>
              <w:rPr>
                <w:rFonts w:hint="eastAsia" w:ascii="仿宋_GB2312" w:hAnsi="仿宋_GB2312" w:eastAsia="仿宋_GB2312" w:cs="仿宋_GB2312"/>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序号</w:t>
            </w:r>
          </w:p>
        </w:tc>
        <w:tc>
          <w:tcPr>
            <w:tcW w:w="2551" w:type="dxa"/>
            <w:gridSpan w:val="2"/>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1134"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合计</w:t>
            </w:r>
          </w:p>
        </w:tc>
        <w:tc>
          <w:tcPr>
            <w:tcW w:w="9072" w:type="dxa"/>
            <w:gridSpan w:val="8"/>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本年收入</w:t>
            </w:r>
          </w:p>
        </w:tc>
        <w:tc>
          <w:tcPr>
            <w:tcW w:w="1134"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pPr>
              <w:rPr>
                <w:rFonts w:hint="eastAsia" w:ascii="仿宋_GB2312" w:hAnsi="仿宋_GB2312" w:eastAsia="仿宋_GB2312" w:cs="仿宋_GB2312"/>
              </w:rPr>
            </w:pPr>
          </w:p>
        </w:tc>
        <w:tc>
          <w:tcPr>
            <w:tcW w:w="992"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科目    编码</w:t>
            </w:r>
          </w:p>
        </w:tc>
        <w:tc>
          <w:tcPr>
            <w:tcW w:w="1559"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科目名称</w:t>
            </w:r>
          </w:p>
        </w:tc>
        <w:tc>
          <w:tcPr>
            <w:tcW w:w="1134" w:type="dxa"/>
            <w:vMerge w:val="continue"/>
          </w:tcPr>
          <w:p>
            <w:pPr>
              <w:rPr>
                <w:rFonts w:hint="eastAsia" w:ascii="仿宋_GB2312" w:hAnsi="仿宋_GB2312" w:eastAsia="仿宋_GB2312" w:cs="仿宋_GB2312"/>
              </w:rPr>
            </w:pPr>
          </w:p>
        </w:tc>
        <w:tc>
          <w:tcPr>
            <w:tcW w:w="113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小计</w:t>
            </w:r>
          </w:p>
        </w:tc>
        <w:tc>
          <w:tcPr>
            <w:tcW w:w="113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财政拨款 收入</w:t>
            </w:r>
          </w:p>
        </w:tc>
        <w:tc>
          <w:tcPr>
            <w:tcW w:w="113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财政专户 收入</w:t>
            </w:r>
          </w:p>
        </w:tc>
        <w:tc>
          <w:tcPr>
            <w:tcW w:w="113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事业收入</w:t>
            </w:r>
          </w:p>
        </w:tc>
        <w:tc>
          <w:tcPr>
            <w:tcW w:w="113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经营收入</w:t>
            </w:r>
          </w:p>
        </w:tc>
        <w:tc>
          <w:tcPr>
            <w:tcW w:w="113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上级补助收入</w:t>
            </w:r>
          </w:p>
        </w:tc>
        <w:tc>
          <w:tcPr>
            <w:tcW w:w="113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附属单位上缴收入</w:t>
            </w:r>
          </w:p>
        </w:tc>
        <w:tc>
          <w:tcPr>
            <w:tcW w:w="113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其他收入</w:t>
            </w:r>
          </w:p>
        </w:tc>
        <w:tc>
          <w:tcPr>
            <w:tcW w:w="1134" w:type="dxa"/>
            <w:vMerge w:val="continue"/>
          </w:tcPr>
          <w:p>
            <w:pPr>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栏次</w:t>
            </w:r>
          </w:p>
        </w:tc>
        <w:tc>
          <w:tcPr>
            <w:tcW w:w="992"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1</w:t>
            </w:r>
          </w:p>
        </w:tc>
        <w:tc>
          <w:tcPr>
            <w:tcW w:w="1559"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2</w:t>
            </w:r>
          </w:p>
        </w:tc>
        <w:tc>
          <w:tcPr>
            <w:tcW w:w="113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3</w:t>
            </w:r>
          </w:p>
        </w:tc>
        <w:tc>
          <w:tcPr>
            <w:tcW w:w="113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4</w:t>
            </w:r>
          </w:p>
        </w:tc>
        <w:tc>
          <w:tcPr>
            <w:tcW w:w="113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5</w:t>
            </w:r>
          </w:p>
        </w:tc>
        <w:tc>
          <w:tcPr>
            <w:tcW w:w="113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6</w:t>
            </w:r>
          </w:p>
        </w:tc>
        <w:tc>
          <w:tcPr>
            <w:tcW w:w="113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7</w:t>
            </w:r>
          </w:p>
        </w:tc>
        <w:tc>
          <w:tcPr>
            <w:tcW w:w="113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8</w:t>
            </w:r>
          </w:p>
        </w:tc>
        <w:tc>
          <w:tcPr>
            <w:tcW w:w="113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9</w:t>
            </w:r>
          </w:p>
        </w:tc>
        <w:tc>
          <w:tcPr>
            <w:tcW w:w="113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10</w:t>
            </w:r>
          </w:p>
        </w:tc>
        <w:tc>
          <w:tcPr>
            <w:tcW w:w="113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11</w:t>
            </w:r>
          </w:p>
        </w:tc>
        <w:tc>
          <w:tcPr>
            <w:tcW w:w="113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992" w:type="dxa"/>
            <w:vAlign w:val="center"/>
          </w:tcPr>
          <w:p>
            <w:pPr>
              <w:pStyle w:val="17"/>
              <w:rPr>
                <w:rFonts w:hint="eastAsia" w:ascii="仿宋_GB2312" w:hAnsi="仿宋_GB2312" w:eastAsia="仿宋_GB2312" w:cs="仿宋_GB2312"/>
              </w:rPr>
            </w:pPr>
          </w:p>
        </w:tc>
        <w:tc>
          <w:tcPr>
            <w:tcW w:w="1559"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合计</w:t>
            </w:r>
          </w:p>
        </w:tc>
        <w:tc>
          <w:tcPr>
            <w:tcW w:w="113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113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113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1134" w:type="dxa"/>
            <w:vAlign w:val="center"/>
          </w:tcPr>
          <w:p>
            <w:pPr>
              <w:pStyle w:val="16"/>
              <w:rPr>
                <w:rFonts w:hint="eastAsia" w:ascii="仿宋_GB2312" w:hAnsi="仿宋_GB2312" w:eastAsia="仿宋_GB2312" w:cs="仿宋_GB2312"/>
              </w:rPr>
            </w:pPr>
          </w:p>
        </w:tc>
        <w:tc>
          <w:tcPr>
            <w:tcW w:w="1134" w:type="dxa"/>
            <w:vAlign w:val="center"/>
          </w:tcPr>
          <w:p>
            <w:pPr>
              <w:pStyle w:val="16"/>
              <w:rPr>
                <w:rFonts w:hint="eastAsia" w:ascii="仿宋_GB2312" w:hAnsi="仿宋_GB2312" w:eastAsia="仿宋_GB2312" w:cs="仿宋_GB2312"/>
              </w:rPr>
            </w:pPr>
          </w:p>
        </w:tc>
        <w:tc>
          <w:tcPr>
            <w:tcW w:w="1134" w:type="dxa"/>
            <w:vAlign w:val="center"/>
          </w:tcPr>
          <w:p>
            <w:pPr>
              <w:pStyle w:val="16"/>
              <w:rPr>
                <w:rFonts w:hint="eastAsia" w:ascii="仿宋_GB2312" w:hAnsi="仿宋_GB2312" w:eastAsia="仿宋_GB2312" w:cs="仿宋_GB2312"/>
              </w:rPr>
            </w:pPr>
          </w:p>
        </w:tc>
        <w:tc>
          <w:tcPr>
            <w:tcW w:w="1134" w:type="dxa"/>
            <w:vAlign w:val="center"/>
          </w:tcPr>
          <w:p>
            <w:pPr>
              <w:pStyle w:val="16"/>
              <w:rPr>
                <w:rFonts w:hint="eastAsia" w:ascii="仿宋_GB2312" w:hAnsi="仿宋_GB2312" w:eastAsia="仿宋_GB2312" w:cs="仿宋_GB2312"/>
              </w:rPr>
            </w:pPr>
          </w:p>
        </w:tc>
        <w:tc>
          <w:tcPr>
            <w:tcW w:w="1134" w:type="dxa"/>
            <w:vAlign w:val="center"/>
          </w:tcPr>
          <w:p>
            <w:pPr>
              <w:pStyle w:val="16"/>
              <w:rPr>
                <w:rFonts w:hint="eastAsia" w:ascii="仿宋_GB2312" w:hAnsi="仿宋_GB2312" w:eastAsia="仿宋_GB2312" w:cs="仿宋_GB2312"/>
              </w:rPr>
            </w:pPr>
          </w:p>
        </w:tc>
        <w:tc>
          <w:tcPr>
            <w:tcW w:w="1134" w:type="dxa"/>
            <w:vAlign w:val="center"/>
          </w:tcPr>
          <w:p>
            <w:pPr>
              <w:pStyle w:val="16"/>
              <w:rPr>
                <w:rFonts w:hint="eastAsia" w:ascii="仿宋_GB2312" w:hAnsi="仿宋_GB2312" w:eastAsia="仿宋_GB2312" w:cs="仿宋_GB2312"/>
              </w:rPr>
            </w:pPr>
          </w:p>
        </w:tc>
        <w:tc>
          <w:tcPr>
            <w:tcW w:w="1134" w:type="dxa"/>
            <w:vAlign w:val="center"/>
          </w:tcPr>
          <w:p>
            <w:pPr>
              <w:pStyle w:val="16"/>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208</w:t>
            </w:r>
          </w:p>
        </w:tc>
        <w:tc>
          <w:tcPr>
            <w:tcW w:w="1559"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社会保障和就业支出</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20805</w:t>
            </w:r>
          </w:p>
        </w:tc>
        <w:tc>
          <w:tcPr>
            <w:tcW w:w="1559"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行政事业单位养老支出</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2080505</w:t>
            </w:r>
          </w:p>
        </w:tc>
        <w:tc>
          <w:tcPr>
            <w:tcW w:w="1559"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机关事业单位基本养老保险缴费支出</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36.14</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36.14</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36.14</w:t>
            </w: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5</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2080506</w:t>
            </w:r>
          </w:p>
        </w:tc>
        <w:tc>
          <w:tcPr>
            <w:tcW w:w="1559"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机关事业单位职业年金缴费支出</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15.00</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15.00</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15.00</w:t>
            </w: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6</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210</w:t>
            </w:r>
          </w:p>
        </w:tc>
        <w:tc>
          <w:tcPr>
            <w:tcW w:w="1559"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卫生健康支出</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7</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21011</w:t>
            </w:r>
          </w:p>
        </w:tc>
        <w:tc>
          <w:tcPr>
            <w:tcW w:w="1559"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行政事业单位医疗</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8</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2101102</w:t>
            </w:r>
          </w:p>
        </w:tc>
        <w:tc>
          <w:tcPr>
            <w:tcW w:w="1559"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事业单位医疗</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9</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212</w:t>
            </w:r>
          </w:p>
        </w:tc>
        <w:tc>
          <w:tcPr>
            <w:tcW w:w="1559"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城乡社区支出</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10</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21203</w:t>
            </w:r>
          </w:p>
        </w:tc>
        <w:tc>
          <w:tcPr>
            <w:tcW w:w="1559"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城乡社区公共设施</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11</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2120399</w:t>
            </w:r>
          </w:p>
        </w:tc>
        <w:tc>
          <w:tcPr>
            <w:tcW w:w="1559"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其他城乡社区公共设施支出</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12</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221</w:t>
            </w:r>
          </w:p>
        </w:tc>
        <w:tc>
          <w:tcPr>
            <w:tcW w:w="1559"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住房保障支出</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13</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22102</w:t>
            </w:r>
          </w:p>
        </w:tc>
        <w:tc>
          <w:tcPr>
            <w:tcW w:w="1559"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住房改革支出</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14</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2210201</w:t>
            </w:r>
          </w:p>
        </w:tc>
        <w:tc>
          <w:tcPr>
            <w:tcW w:w="1559"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住房公积金</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c>
          <w:tcPr>
            <w:tcW w:w="1134" w:type="dxa"/>
            <w:vAlign w:val="center"/>
          </w:tcPr>
          <w:p>
            <w:pPr>
              <w:pStyle w:val="12"/>
              <w:rPr>
                <w:rFonts w:hint="eastAsia" w:ascii="仿宋_GB2312" w:hAnsi="仿宋_GB2312" w:eastAsia="仿宋_GB2312" w:cs="仿宋_GB2312"/>
              </w:rPr>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hint="eastAsia" w:ascii="方正小标宋简体" w:hAnsi="方正小标宋简体" w:eastAsia="方正小标宋简体" w:cs="方正小标宋简体"/>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rPr>
                <w:rFonts w:hint="eastAsia" w:ascii="仿宋_GB2312" w:hAnsi="仿宋_GB2312" w:eastAsia="仿宋_GB2312" w:cs="仿宋_GB2312"/>
              </w:rPr>
            </w:pPr>
            <w:r>
              <w:rPr>
                <w:rFonts w:hint="eastAsia" w:ascii="仿宋_GB2312" w:hAnsi="仿宋_GB2312" w:eastAsia="仿宋_GB2312" w:cs="仿宋_GB2312"/>
              </w:rPr>
              <w:t>438昌黎县政府投资项目代建中心</w:t>
            </w:r>
          </w:p>
        </w:tc>
        <w:tc>
          <w:tcPr>
            <w:tcW w:w="2722" w:type="dxa"/>
            <w:gridSpan w:val="2"/>
            <w:tcBorders>
              <w:top w:val="single" w:color="FFFFFF" w:sz="6" w:space="0"/>
              <w:left w:val="single" w:color="FFFFFF" w:sz="6" w:space="0"/>
              <w:right w:val="single" w:color="FFFFFF" w:sz="6" w:space="0"/>
            </w:tcBorders>
            <w:vAlign w:val="center"/>
          </w:tcPr>
          <w:p>
            <w:pPr>
              <w:pStyle w:val="9"/>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5444" w:type="dxa"/>
            <w:gridSpan w:val="4"/>
            <w:tcBorders>
              <w:top w:val="single" w:color="FFFFFF" w:sz="6" w:space="0"/>
              <w:left w:val="single" w:color="FFFFFF" w:sz="6" w:space="0"/>
              <w:right w:val="single" w:color="FFFFFF" w:sz="6" w:space="0"/>
            </w:tcBorders>
            <w:vAlign w:val="center"/>
          </w:tcPr>
          <w:p>
            <w:pPr>
              <w:pStyle w:val="8"/>
              <w:rPr>
                <w:rFonts w:hint="eastAsia" w:ascii="仿宋_GB2312" w:hAnsi="仿宋_GB2312" w:eastAsia="仿宋_GB2312" w:cs="仿宋_GB2312"/>
              </w:rPr>
            </w:pPr>
            <w:r>
              <w:rPr>
                <w:rFonts w:hint="eastAsia" w:ascii="仿宋_GB2312" w:hAnsi="仿宋_GB2312" w:eastAsia="仿宋_GB2312" w:cs="仿宋_GB2312"/>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序号</w:t>
            </w:r>
          </w:p>
        </w:tc>
        <w:tc>
          <w:tcPr>
            <w:tcW w:w="5527" w:type="dxa"/>
            <w:gridSpan w:val="2"/>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1361"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合计</w:t>
            </w:r>
          </w:p>
        </w:tc>
        <w:tc>
          <w:tcPr>
            <w:tcW w:w="1361"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基本支出</w:t>
            </w:r>
          </w:p>
        </w:tc>
        <w:tc>
          <w:tcPr>
            <w:tcW w:w="1361"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项目支出</w:t>
            </w:r>
          </w:p>
        </w:tc>
        <w:tc>
          <w:tcPr>
            <w:tcW w:w="1361"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经营支出</w:t>
            </w:r>
          </w:p>
        </w:tc>
        <w:tc>
          <w:tcPr>
            <w:tcW w:w="1361"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上解上级     支出</w:t>
            </w:r>
          </w:p>
        </w:tc>
        <w:tc>
          <w:tcPr>
            <w:tcW w:w="1361"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仿宋_GB2312" w:hAnsi="仿宋_GB2312" w:eastAsia="仿宋_GB2312" w:cs="仿宋_GB2312"/>
              </w:rPr>
            </w:pPr>
          </w:p>
        </w:tc>
        <w:tc>
          <w:tcPr>
            <w:tcW w:w="992"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科目    编码</w:t>
            </w:r>
          </w:p>
        </w:tc>
        <w:tc>
          <w:tcPr>
            <w:tcW w:w="4535"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科目名称</w:t>
            </w:r>
          </w:p>
        </w:tc>
        <w:tc>
          <w:tcPr>
            <w:tcW w:w="1361" w:type="dxa"/>
            <w:vMerge w:val="continue"/>
          </w:tcPr>
          <w:p>
            <w:pPr>
              <w:rPr>
                <w:rFonts w:hint="eastAsia" w:ascii="仿宋_GB2312" w:hAnsi="仿宋_GB2312" w:eastAsia="仿宋_GB2312" w:cs="仿宋_GB2312"/>
              </w:rPr>
            </w:pPr>
          </w:p>
        </w:tc>
        <w:tc>
          <w:tcPr>
            <w:tcW w:w="1361" w:type="dxa"/>
            <w:vMerge w:val="continue"/>
          </w:tcPr>
          <w:p>
            <w:pPr>
              <w:rPr>
                <w:rFonts w:hint="eastAsia" w:ascii="仿宋_GB2312" w:hAnsi="仿宋_GB2312" w:eastAsia="仿宋_GB2312" w:cs="仿宋_GB2312"/>
              </w:rPr>
            </w:pPr>
          </w:p>
        </w:tc>
        <w:tc>
          <w:tcPr>
            <w:tcW w:w="1361" w:type="dxa"/>
            <w:vMerge w:val="continue"/>
          </w:tcPr>
          <w:p>
            <w:pPr>
              <w:rPr>
                <w:rFonts w:hint="eastAsia" w:ascii="仿宋_GB2312" w:hAnsi="仿宋_GB2312" w:eastAsia="仿宋_GB2312" w:cs="仿宋_GB2312"/>
              </w:rPr>
            </w:pPr>
          </w:p>
        </w:tc>
        <w:tc>
          <w:tcPr>
            <w:tcW w:w="1361" w:type="dxa"/>
            <w:vMerge w:val="continue"/>
          </w:tcPr>
          <w:p>
            <w:pPr>
              <w:rPr>
                <w:rFonts w:hint="eastAsia" w:ascii="仿宋_GB2312" w:hAnsi="仿宋_GB2312" w:eastAsia="仿宋_GB2312" w:cs="仿宋_GB2312"/>
              </w:rPr>
            </w:pPr>
          </w:p>
        </w:tc>
        <w:tc>
          <w:tcPr>
            <w:tcW w:w="1361" w:type="dxa"/>
            <w:vMerge w:val="continue"/>
          </w:tcPr>
          <w:p>
            <w:pPr>
              <w:rPr>
                <w:rFonts w:hint="eastAsia" w:ascii="仿宋_GB2312" w:hAnsi="仿宋_GB2312" w:eastAsia="仿宋_GB2312" w:cs="仿宋_GB2312"/>
              </w:rPr>
            </w:pPr>
          </w:p>
        </w:tc>
        <w:tc>
          <w:tcPr>
            <w:tcW w:w="1361" w:type="dxa"/>
            <w:vMerge w:val="continue"/>
          </w:tcPr>
          <w:p>
            <w:pPr>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栏次</w:t>
            </w:r>
          </w:p>
        </w:tc>
        <w:tc>
          <w:tcPr>
            <w:tcW w:w="992"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1</w:t>
            </w:r>
          </w:p>
        </w:tc>
        <w:tc>
          <w:tcPr>
            <w:tcW w:w="4535"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2</w:t>
            </w:r>
          </w:p>
        </w:tc>
        <w:tc>
          <w:tcPr>
            <w:tcW w:w="136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3</w:t>
            </w:r>
          </w:p>
        </w:tc>
        <w:tc>
          <w:tcPr>
            <w:tcW w:w="136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4</w:t>
            </w:r>
          </w:p>
        </w:tc>
        <w:tc>
          <w:tcPr>
            <w:tcW w:w="136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5</w:t>
            </w:r>
          </w:p>
        </w:tc>
        <w:tc>
          <w:tcPr>
            <w:tcW w:w="136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6</w:t>
            </w:r>
          </w:p>
        </w:tc>
        <w:tc>
          <w:tcPr>
            <w:tcW w:w="136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7</w:t>
            </w:r>
          </w:p>
        </w:tc>
        <w:tc>
          <w:tcPr>
            <w:tcW w:w="136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992" w:type="dxa"/>
            <w:vAlign w:val="center"/>
          </w:tcPr>
          <w:p>
            <w:pPr>
              <w:pStyle w:val="17"/>
              <w:rPr>
                <w:rFonts w:hint="eastAsia" w:ascii="仿宋_GB2312" w:hAnsi="仿宋_GB2312" w:eastAsia="仿宋_GB2312" w:cs="仿宋_GB2312"/>
              </w:rPr>
            </w:pPr>
          </w:p>
        </w:tc>
        <w:tc>
          <w:tcPr>
            <w:tcW w:w="4535"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合计</w:t>
            </w:r>
          </w:p>
        </w:tc>
        <w:tc>
          <w:tcPr>
            <w:tcW w:w="1361"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1361"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1361" w:type="dxa"/>
            <w:vAlign w:val="center"/>
          </w:tcPr>
          <w:p>
            <w:pPr>
              <w:pStyle w:val="16"/>
              <w:rPr>
                <w:rFonts w:hint="eastAsia" w:ascii="仿宋_GB2312" w:hAnsi="仿宋_GB2312" w:eastAsia="仿宋_GB2312" w:cs="仿宋_GB2312"/>
              </w:rPr>
            </w:pPr>
          </w:p>
        </w:tc>
        <w:tc>
          <w:tcPr>
            <w:tcW w:w="1361" w:type="dxa"/>
            <w:vAlign w:val="center"/>
          </w:tcPr>
          <w:p>
            <w:pPr>
              <w:pStyle w:val="16"/>
              <w:rPr>
                <w:rFonts w:hint="eastAsia" w:ascii="仿宋_GB2312" w:hAnsi="仿宋_GB2312" w:eastAsia="仿宋_GB2312" w:cs="仿宋_GB2312"/>
              </w:rPr>
            </w:pPr>
          </w:p>
        </w:tc>
        <w:tc>
          <w:tcPr>
            <w:tcW w:w="1361" w:type="dxa"/>
            <w:vAlign w:val="center"/>
          </w:tcPr>
          <w:p>
            <w:pPr>
              <w:pStyle w:val="16"/>
              <w:rPr>
                <w:rFonts w:hint="eastAsia" w:ascii="仿宋_GB2312" w:hAnsi="仿宋_GB2312" w:eastAsia="仿宋_GB2312" w:cs="仿宋_GB2312"/>
              </w:rPr>
            </w:pPr>
          </w:p>
        </w:tc>
        <w:tc>
          <w:tcPr>
            <w:tcW w:w="1361" w:type="dxa"/>
            <w:vAlign w:val="center"/>
          </w:tcPr>
          <w:p>
            <w:pPr>
              <w:pStyle w:val="16"/>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208</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社会保障和就业支出</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20805</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行政事业单位养老支出</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2080505</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机关事业单位基本养老保险缴费支出</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36.14</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36.14</w:t>
            </w: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5</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2080506</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机关事业单位职业年金缴费支出</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15.00</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15.00</w:t>
            </w: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6</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210</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卫生健康支出</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7</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21011</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行政事业单位医疗</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8</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2101102</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事业单位医疗</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9</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212</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城乡社区支出</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10</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21203</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城乡社区公共设施</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11</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2120399</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其他城乡社区公共设施支出</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12</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221</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住房保障支出</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13</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22102</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住房改革支出</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14</w:t>
            </w:r>
          </w:p>
        </w:tc>
        <w:tc>
          <w:tcPr>
            <w:tcW w:w="99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2210201</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住房公积金</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36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c>
          <w:tcPr>
            <w:tcW w:w="1361" w:type="dxa"/>
            <w:vAlign w:val="center"/>
          </w:tcPr>
          <w:p>
            <w:pPr>
              <w:pStyle w:val="12"/>
              <w:rPr>
                <w:rFonts w:hint="eastAsia" w:ascii="仿宋_GB2312" w:hAnsi="仿宋_GB2312" w:eastAsia="仿宋_GB2312" w:cs="仿宋_GB2312"/>
              </w:rPr>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21"/>
        </w:rPr>
        <w:t>注：表中金额不含预计下年使用的单位资金结余。</w:t>
      </w:r>
    </w:p>
    <w:p>
      <w:pPr>
        <w:spacing w:before="0" w:after="0" w:line="240" w:lineRule="auto"/>
        <w:ind w:firstLine="0"/>
        <w:jc w:val="center"/>
        <w:outlineLvl w:val="1"/>
        <w:rPr>
          <w:rFonts w:hint="eastAsia" w:ascii="方正小标宋简体" w:hAnsi="方正小标宋简体" w:eastAsia="方正小标宋简体" w:cs="方正小标宋简体"/>
        </w:rPr>
      </w:pPr>
      <w:bookmarkStart w:id="3" w:name="_Toc_2_2_0000000004"/>
      <w:r>
        <w:rPr>
          <w:rFonts w:hint="eastAsia" w:ascii="方正小标宋简体" w:hAnsi="方正小标宋简体" w:eastAsia="方正小标宋简体" w:cs="方正小标宋简体"/>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rPr>
                <w:rFonts w:hint="eastAsia" w:ascii="仿宋_GB2312" w:hAnsi="仿宋_GB2312" w:eastAsia="仿宋_GB2312" w:cs="仿宋_GB2312"/>
              </w:rPr>
            </w:pPr>
            <w:r>
              <w:rPr>
                <w:rFonts w:hint="eastAsia" w:ascii="仿宋_GB2312" w:hAnsi="仿宋_GB2312" w:eastAsia="仿宋_GB2312" w:cs="仿宋_GB2312"/>
              </w:rPr>
              <w:t>438昌黎县政府投资项目代建中心</w:t>
            </w:r>
          </w:p>
        </w:tc>
        <w:tc>
          <w:tcPr>
            <w:tcW w:w="3402" w:type="dxa"/>
            <w:tcBorders>
              <w:top w:val="single" w:color="FFFFFF" w:sz="6" w:space="0"/>
              <w:left w:val="single" w:color="FFFFFF" w:sz="6" w:space="0"/>
              <w:right w:val="single" w:color="FFFFFF" w:sz="6" w:space="0"/>
            </w:tcBorders>
            <w:vAlign w:val="center"/>
          </w:tcPr>
          <w:p>
            <w:pPr>
              <w:pStyle w:val="9"/>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5896" w:type="dxa"/>
            <w:gridSpan w:val="4"/>
            <w:tcBorders>
              <w:top w:val="single" w:color="FFFFFF" w:sz="6" w:space="0"/>
              <w:left w:val="single" w:color="FFFFFF" w:sz="6" w:space="0"/>
              <w:right w:val="single" w:color="FFFFFF" w:sz="6" w:space="0"/>
            </w:tcBorders>
            <w:vAlign w:val="center"/>
          </w:tcPr>
          <w:p>
            <w:pPr>
              <w:pStyle w:val="8"/>
              <w:rPr>
                <w:rFonts w:hint="eastAsia" w:ascii="仿宋_GB2312" w:hAnsi="仿宋_GB2312" w:eastAsia="仿宋_GB2312" w:cs="仿宋_GB2312"/>
              </w:rPr>
            </w:pPr>
            <w:r>
              <w:rPr>
                <w:rFonts w:hint="eastAsia" w:ascii="仿宋_GB2312" w:hAnsi="仿宋_GB2312" w:eastAsia="仿宋_GB2312" w:cs="仿宋_GB2312"/>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序号</w:t>
            </w:r>
          </w:p>
        </w:tc>
        <w:tc>
          <w:tcPr>
            <w:tcW w:w="4876" w:type="dxa"/>
            <w:gridSpan w:val="2"/>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收入</w:t>
            </w:r>
          </w:p>
        </w:tc>
        <w:tc>
          <w:tcPr>
            <w:tcW w:w="9298" w:type="dxa"/>
            <w:gridSpan w:val="5"/>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仿宋_GB2312" w:hAnsi="仿宋_GB2312" w:eastAsia="仿宋_GB2312" w:cs="仿宋_GB2312"/>
              </w:rPr>
            </w:pPr>
          </w:p>
        </w:tc>
        <w:tc>
          <w:tcPr>
            <w:tcW w:w="3402"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项  目</w:t>
            </w:r>
          </w:p>
        </w:tc>
        <w:tc>
          <w:tcPr>
            <w:tcW w:w="147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金额</w:t>
            </w:r>
          </w:p>
        </w:tc>
        <w:tc>
          <w:tcPr>
            <w:tcW w:w="3402"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项  目</w:t>
            </w:r>
          </w:p>
        </w:tc>
        <w:tc>
          <w:tcPr>
            <w:tcW w:w="147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合计</w:t>
            </w:r>
          </w:p>
        </w:tc>
        <w:tc>
          <w:tcPr>
            <w:tcW w:w="147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一般公共预算财政拨款</w:t>
            </w:r>
          </w:p>
        </w:tc>
        <w:tc>
          <w:tcPr>
            <w:tcW w:w="147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政府性基金预算财政    拨款</w:t>
            </w:r>
          </w:p>
        </w:tc>
        <w:tc>
          <w:tcPr>
            <w:tcW w:w="147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栏次</w:t>
            </w:r>
          </w:p>
        </w:tc>
        <w:tc>
          <w:tcPr>
            <w:tcW w:w="3402"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1</w:t>
            </w:r>
          </w:p>
        </w:tc>
        <w:tc>
          <w:tcPr>
            <w:tcW w:w="147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2</w:t>
            </w:r>
          </w:p>
        </w:tc>
        <w:tc>
          <w:tcPr>
            <w:tcW w:w="3402"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3</w:t>
            </w:r>
          </w:p>
        </w:tc>
        <w:tc>
          <w:tcPr>
            <w:tcW w:w="147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4</w:t>
            </w:r>
          </w:p>
        </w:tc>
        <w:tc>
          <w:tcPr>
            <w:tcW w:w="147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5</w:t>
            </w:r>
          </w:p>
        </w:tc>
        <w:tc>
          <w:tcPr>
            <w:tcW w:w="147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6</w:t>
            </w:r>
          </w:p>
        </w:tc>
        <w:tc>
          <w:tcPr>
            <w:tcW w:w="1474"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一、一般公共预算拨款</w:t>
            </w:r>
          </w:p>
        </w:tc>
        <w:tc>
          <w:tcPr>
            <w:tcW w:w="147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331.94</w:t>
            </w: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一、一般公共服务支出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w:t>
            </w: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二、政府性基金预算拨款</w:t>
            </w: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二、外交支出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w:t>
            </w: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三、国有资本经营预算拨款</w:t>
            </w: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三、国防支出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四、公共安全支出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5</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五、教育支出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6</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六、科学技术支出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7</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七、文化旅游体育与传媒支出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8</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八、社会保障和就业支出</w:t>
            </w:r>
          </w:p>
        </w:tc>
        <w:tc>
          <w:tcPr>
            <w:tcW w:w="147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47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9</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九、社会保险基金支出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10</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十、卫生健康支出</w:t>
            </w:r>
          </w:p>
        </w:tc>
        <w:tc>
          <w:tcPr>
            <w:tcW w:w="147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47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11</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十一、节能环保支出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12</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十二、城乡社区支出</w:t>
            </w:r>
          </w:p>
        </w:tc>
        <w:tc>
          <w:tcPr>
            <w:tcW w:w="147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47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13</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十三、农林水支出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14</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十四、交通运输支出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15</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十五、资源勘探工业信息等支出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16</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十六、商业服务业等支出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17</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十七、金融支出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18</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十八、援助其他地区支出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19</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十九、自然资源海洋气象等支出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20</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二十、住房保障支出</w:t>
            </w:r>
          </w:p>
        </w:tc>
        <w:tc>
          <w:tcPr>
            <w:tcW w:w="147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474"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21</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二十一、粮油物资储备支出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22</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二十二、国有资本经营预算支出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23</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二十三、灾害防治及应急管理支出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24</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二十四、预备费</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25</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二十五、其他支出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26</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二十六、转移性支出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27</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二十七、债务还本支出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28</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二十八、债务付息支出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29</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二十九、债务发行费用支出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30</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三十、抗疫特别国债安排的支出</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31</w:t>
            </w: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三十一、人行科目</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32</w:t>
            </w:r>
          </w:p>
        </w:tc>
        <w:tc>
          <w:tcPr>
            <w:tcW w:w="3402"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本年收入合计</w:t>
            </w:r>
          </w:p>
        </w:tc>
        <w:tc>
          <w:tcPr>
            <w:tcW w:w="147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3402"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本年支出合计</w:t>
            </w:r>
          </w:p>
        </w:tc>
        <w:tc>
          <w:tcPr>
            <w:tcW w:w="147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147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1474" w:type="dxa"/>
            <w:vAlign w:val="center"/>
          </w:tcPr>
          <w:p>
            <w:pPr>
              <w:pStyle w:val="16"/>
              <w:rPr>
                <w:rFonts w:hint="eastAsia" w:ascii="仿宋_GB2312" w:hAnsi="仿宋_GB2312" w:eastAsia="仿宋_GB2312" w:cs="仿宋_GB2312"/>
              </w:rPr>
            </w:pPr>
          </w:p>
        </w:tc>
        <w:tc>
          <w:tcPr>
            <w:tcW w:w="1474" w:type="dxa"/>
            <w:vAlign w:val="center"/>
          </w:tcPr>
          <w:p>
            <w:pPr>
              <w:pStyle w:val="16"/>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33</w:t>
            </w: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年初财政拨款结转和结余</w:t>
            </w: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年末财政拨款结转和结余</w:t>
            </w: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34</w:t>
            </w: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一、一般公共预算拨款</w:t>
            </w: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35</w:t>
            </w: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二、政府性基金预算拨款</w:t>
            </w: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36</w:t>
            </w:r>
          </w:p>
        </w:tc>
        <w:tc>
          <w:tcPr>
            <w:tcW w:w="3402"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三、国有资本经营预算拨款</w:t>
            </w:r>
          </w:p>
        </w:tc>
        <w:tc>
          <w:tcPr>
            <w:tcW w:w="1474" w:type="dxa"/>
            <w:vAlign w:val="center"/>
          </w:tcPr>
          <w:p>
            <w:pPr>
              <w:pStyle w:val="12"/>
              <w:rPr>
                <w:rFonts w:hint="eastAsia" w:ascii="仿宋_GB2312" w:hAnsi="仿宋_GB2312" w:eastAsia="仿宋_GB2312" w:cs="仿宋_GB2312"/>
              </w:rPr>
            </w:pPr>
          </w:p>
        </w:tc>
        <w:tc>
          <w:tcPr>
            <w:tcW w:w="3402" w:type="dxa"/>
            <w:vAlign w:val="center"/>
          </w:tcPr>
          <w:p>
            <w:pPr>
              <w:pStyle w:val="13"/>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c>
          <w:tcPr>
            <w:tcW w:w="1474"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37</w:t>
            </w:r>
          </w:p>
        </w:tc>
        <w:tc>
          <w:tcPr>
            <w:tcW w:w="3402"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收入总计</w:t>
            </w:r>
          </w:p>
        </w:tc>
        <w:tc>
          <w:tcPr>
            <w:tcW w:w="147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3402"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支出总计</w:t>
            </w:r>
          </w:p>
        </w:tc>
        <w:tc>
          <w:tcPr>
            <w:tcW w:w="147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1474"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1474" w:type="dxa"/>
            <w:vAlign w:val="center"/>
          </w:tcPr>
          <w:p>
            <w:pPr>
              <w:pStyle w:val="16"/>
              <w:rPr>
                <w:rFonts w:hint="eastAsia" w:ascii="仿宋_GB2312" w:hAnsi="仿宋_GB2312" w:eastAsia="仿宋_GB2312" w:cs="仿宋_GB2312"/>
              </w:rPr>
            </w:pPr>
          </w:p>
        </w:tc>
        <w:tc>
          <w:tcPr>
            <w:tcW w:w="1474" w:type="dxa"/>
            <w:vAlign w:val="center"/>
          </w:tcPr>
          <w:p>
            <w:pPr>
              <w:pStyle w:val="16"/>
              <w:rPr>
                <w:rFonts w:hint="eastAsia" w:ascii="仿宋_GB2312" w:hAnsi="仿宋_GB2312" w:eastAsia="仿宋_GB2312" w:cs="仿宋_GB2312"/>
              </w:rPr>
            </w:pPr>
          </w:p>
        </w:tc>
      </w:tr>
    </w:tbl>
    <w:p>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eastAsia" w:ascii="方正小标宋简体" w:hAnsi="方正小标宋简体" w:eastAsia="方正小标宋简体" w:cs="方正小标宋简体"/>
        </w:rPr>
      </w:pPr>
      <w:bookmarkStart w:id="4" w:name="_Toc_2_2_0000000005"/>
      <w:r>
        <w:rPr>
          <w:rFonts w:hint="eastAsia" w:ascii="方正小标宋简体" w:hAnsi="方正小标宋简体" w:eastAsia="方正小标宋简体" w:cs="方正小标宋简体"/>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rFonts w:hint="eastAsia" w:ascii="仿宋_GB2312" w:hAnsi="仿宋_GB2312" w:eastAsia="仿宋_GB2312" w:cs="仿宋_GB2312"/>
              </w:rPr>
            </w:pPr>
            <w:r>
              <w:rPr>
                <w:rFonts w:hint="eastAsia" w:ascii="仿宋_GB2312" w:hAnsi="仿宋_GB2312" w:eastAsia="仿宋_GB2312" w:cs="仿宋_GB2312"/>
              </w:rPr>
              <w:t>438昌黎县政府投资项目代建中心</w:t>
            </w:r>
          </w:p>
        </w:tc>
        <w:tc>
          <w:tcPr>
            <w:tcW w:w="2551" w:type="dxa"/>
            <w:tcBorders>
              <w:top w:val="single" w:color="FFFFFF" w:sz="6" w:space="0"/>
              <w:left w:val="single" w:color="FFFFFF" w:sz="6" w:space="0"/>
              <w:right w:val="single" w:color="FFFFFF" w:sz="6" w:space="0"/>
            </w:tcBorders>
            <w:vAlign w:val="center"/>
          </w:tcPr>
          <w:p>
            <w:pPr>
              <w:pStyle w:val="9"/>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8"/>
              <w:rPr>
                <w:rFonts w:hint="eastAsia" w:ascii="仿宋_GB2312" w:hAnsi="仿宋_GB2312" w:eastAsia="仿宋_GB2312" w:cs="仿宋_GB2312"/>
              </w:rPr>
            </w:pPr>
            <w:r>
              <w:rPr>
                <w:rFonts w:hint="eastAsia" w:ascii="仿宋_GB2312" w:hAnsi="仿宋_GB2312" w:eastAsia="仿宋_GB2312" w:cs="仿宋_GB2312"/>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序号</w:t>
            </w:r>
          </w:p>
        </w:tc>
        <w:tc>
          <w:tcPr>
            <w:tcW w:w="5726" w:type="dxa"/>
            <w:gridSpan w:val="2"/>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2551"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合计</w:t>
            </w:r>
          </w:p>
        </w:tc>
        <w:tc>
          <w:tcPr>
            <w:tcW w:w="2551"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基本支出</w:t>
            </w:r>
          </w:p>
        </w:tc>
        <w:tc>
          <w:tcPr>
            <w:tcW w:w="2551"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仿宋_GB2312" w:hAnsi="仿宋_GB2312" w:eastAsia="仿宋_GB2312" w:cs="仿宋_GB2312"/>
              </w:rPr>
            </w:pPr>
          </w:p>
        </w:tc>
        <w:tc>
          <w:tcPr>
            <w:tcW w:w="119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科目编码</w:t>
            </w:r>
          </w:p>
        </w:tc>
        <w:tc>
          <w:tcPr>
            <w:tcW w:w="4535"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科目名称</w:t>
            </w:r>
          </w:p>
        </w:tc>
        <w:tc>
          <w:tcPr>
            <w:tcW w:w="2551" w:type="dxa"/>
            <w:vMerge w:val="continue"/>
          </w:tcPr>
          <w:p>
            <w:pPr>
              <w:rPr>
                <w:rFonts w:hint="eastAsia" w:ascii="仿宋_GB2312" w:hAnsi="仿宋_GB2312" w:eastAsia="仿宋_GB2312" w:cs="仿宋_GB2312"/>
              </w:rPr>
            </w:pPr>
          </w:p>
        </w:tc>
        <w:tc>
          <w:tcPr>
            <w:tcW w:w="2551" w:type="dxa"/>
            <w:vMerge w:val="continue"/>
          </w:tcPr>
          <w:p>
            <w:pPr>
              <w:rPr>
                <w:rFonts w:hint="eastAsia" w:ascii="仿宋_GB2312" w:hAnsi="仿宋_GB2312" w:eastAsia="仿宋_GB2312" w:cs="仿宋_GB2312"/>
              </w:rPr>
            </w:pPr>
          </w:p>
        </w:tc>
        <w:tc>
          <w:tcPr>
            <w:tcW w:w="2551" w:type="dxa"/>
            <w:vMerge w:val="continue"/>
          </w:tcPr>
          <w:p>
            <w:pPr>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栏次</w:t>
            </w:r>
          </w:p>
        </w:tc>
        <w:tc>
          <w:tcPr>
            <w:tcW w:w="119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1</w:t>
            </w:r>
          </w:p>
        </w:tc>
        <w:tc>
          <w:tcPr>
            <w:tcW w:w="4535"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2</w:t>
            </w:r>
          </w:p>
        </w:tc>
        <w:tc>
          <w:tcPr>
            <w:tcW w:w="255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3</w:t>
            </w:r>
          </w:p>
        </w:tc>
        <w:tc>
          <w:tcPr>
            <w:tcW w:w="255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4</w:t>
            </w:r>
          </w:p>
        </w:tc>
        <w:tc>
          <w:tcPr>
            <w:tcW w:w="255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1191" w:type="dxa"/>
            <w:vAlign w:val="center"/>
          </w:tcPr>
          <w:p>
            <w:pPr>
              <w:pStyle w:val="17"/>
              <w:rPr>
                <w:rFonts w:hint="eastAsia" w:ascii="仿宋_GB2312" w:hAnsi="仿宋_GB2312" w:eastAsia="仿宋_GB2312" w:cs="仿宋_GB2312"/>
              </w:rPr>
            </w:pPr>
          </w:p>
        </w:tc>
        <w:tc>
          <w:tcPr>
            <w:tcW w:w="4535"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合计</w:t>
            </w:r>
          </w:p>
        </w:tc>
        <w:tc>
          <w:tcPr>
            <w:tcW w:w="2551"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2551"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2551" w:type="dxa"/>
            <w:vAlign w:val="center"/>
          </w:tcPr>
          <w:p>
            <w:pPr>
              <w:pStyle w:val="16"/>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208</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社会保障和就业支出</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255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20805</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行政事业单位养老支出</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51.14</w:t>
            </w:r>
          </w:p>
        </w:tc>
        <w:tc>
          <w:tcPr>
            <w:tcW w:w="255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2080505</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机关事业单位基本养老保险缴费支出</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36.14</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36.14</w:t>
            </w:r>
          </w:p>
        </w:tc>
        <w:tc>
          <w:tcPr>
            <w:tcW w:w="255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5</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2080506</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机关事业单位职业年金缴费支出</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15.00</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15.00</w:t>
            </w:r>
          </w:p>
        </w:tc>
        <w:tc>
          <w:tcPr>
            <w:tcW w:w="255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6</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210</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卫生健康支出</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7</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21011</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行政事业单位医疗</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8</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2101102</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事业单位医疗</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9</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212</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城乡社区支出</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255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10</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21203</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城乡社区公共设施</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255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11</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2120399</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其他城乡社区公共设施支出</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244.27</w:t>
            </w:r>
          </w:p>
        </w:tc>
        <w:tc>
          <w:tcPr>
            <w:tcW w:w="255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12</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221</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住房保障支出</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13</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22102</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住房改革支出</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14</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2210201</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住房公积金</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pPr>
              <w:pStyle w:val="12"/>
              <w:rPr>
                <w:rFonts w:hint="eastAsia" w:ascii="仿宋_GB2312" w:hAnsi="仿宋_GB2312" w:eastAsia="仿宋_GB2312" w:cs="仿宋_GB2312"/>
              </w:rPr>
            </w:pPr>
          </w:p>
        </w:tc>
      </w:tr>
    </w:tbl>
    <w:p>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eastAsia" w:ascii="方正小标宋简体" w:hAnsi="方正小标宋简体" w:eastAsia="方正小标宋简体" w:cs="方正小标宋简体"/>
        </w:rPr>
      </w:pPr>
      <w:bookmarkStart w:id="5" w:name="_Toc_2_2_0000000006"/>
      <w:r>
        <w:rPr>
          <w:rFonts w:hint="eastAsia" w:ascii="方正小标宋简体" w:hAnsi="方正小标宋简体" w:eastAsia="方正小标宋简体" w:cs="方正小标宋简体"/>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rFonts w:hint="eastAsia" w:ascii="仿宋_GB2312" w:hAnsi="仿宋_GB2312" w:eastAsia="仿宋_GB2312" w:cs="仿宋_GB2312"/>
              </w:rPr>
            </w:pPr>
            <w:r>
              <w:rPr>
                <w:rFonts w:hint="eastAsia" w:ascii="仿宋_GB2312" w:hAnsi="仿宋_GB2312" w:eastAsia="仿宋_GB2312" w:cs="仿宋_GB2312"/>
              </w:rPr>
              <w:t>438昌黎县政府投资项目代建中心</w:t>
            </w:r>
          </w:p>
        </w:tc>
        <w:tc>
          <w:tcPr>
            <w:tcW w:w="2551" w:type="dxa"/>
            <w:tcBorders>
              <w:top w:val="single" w:color="FFFFFF" w:sz="6" w:space="0"/>
              <w:left w:val="single" w:color="FFFFFF" w:sz="6" w:space="0"/>
              <w:right w:val="single" w:color="FFFFFF" w:sz="6" w:space="0"/>
            </w:tcBorders>
            <w:vAlign w:val="center"/>
          </w:tcPr>
          <w:p>
            <w:pPr>
              <w:pStyle w:val="9"/>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8"/>
              <w:rPr>
                <w:rFonts w:hint="eastAsia" w:ascii="仿宋_GB2312" w:hAnsi="仿宋_GB2312" w:eastAsia="仿宋_GB2312" w:cs="仿宋_GB2312"/>
              </w:rPr>
            </w:pPr>
            <w:r>
              <w:rPr>
                <w:rFonts w:hint="eastAsia" w:ascii="仿宋_GB2312" w:hAnsi="仿宋_GB2312" w:eastAsia="仿宋_GB2312" w:cs="仿宋_GB2312"/>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序号</w:t>
            </w:r>
          </w:p>
        </w:tc>
        <w:tc>
          <w:tcPr>
            <w:tcW w:w="5726" w:type="dxa"/>
            <w:gridSpan w:val="2"/>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支出部门经济分类科目</w:t>
            </w:r>
          </w:p>
        </w:tc>
        <w:tc>
          <w:tcPr>
            <w:tcW w:w="7653" w:type="dxa"/>
            <w:gridSpan w:val="3"/>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仿宋_GB2312" w:hAnsi="仿宋_GB2312" w:eastAsia="仿宋_GB2312" w:cs="仿宋_GB2312"/>
              </w:rPr>
            </w:pPr>
          </w:p>
        </w:tc>
        <w:tc>
          <w:tcPr>
            <w:tcW w:w="119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科目编码</w:t>
            </w:r>
          </w:p>
        </w:tc>
        <w:tc>
          <w:tcPr>
            <w:tcW w:w="4535"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科目名称</w:t>
            </w:r>
          </w:p>
        </w:tc>
        <w:tc>
          <w:tcPr>
            <w:tcW w:w="255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合计</w:t>
            </w:r>
          </w:p>
        </w:tc>
        <w:tc>
          <w:tcPr>
            <w:tcW w:w="255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人员经费</w:t>
            </w:r>
          </w:p>
        </w:tc>
        <w:tc>
          <w:tcPr>
            <w:tcW w:w="255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栏次</w:t>
            </w:r>
          </w:p>
        </w:tc>
        <w:tc>
          <w:tcPr>
            <w:tcW w:w="119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1</w:t>
            </w:r>
          </w:p>
        </w:tc>
        <w:tc>
          <w:tcPr>
            <w:tcW w:w="4535"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2</w:t>
            </w:r>
          </w:p>
        </w:tc>
        <w:tc>
          <w:tcPr>
            <w:tcW w:w="255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3</w:t>
            </w:r>
          </w:p>
        </w:tc>
        <w:tc>
          <w:tcPr>
            <w:tcW w:w="255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4</w:t>
            </w:r>
          </w:p>
        </w:tc>
        <w:tc>
          <w:tcPr>
            <w:tcW w:w="255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1191" w:type="dxa"/>
            <w:vAlign w:val="center"/>
          </w:tcPr>
          <w:p>
            <w:pPr>
              <w:pStyle w:val="17"/>
              <w:rPr>
                <w:rFonts w:hint="eastAsia" w:ascii="仿宋_GB2312" w:hAnsi="仿宋_GB2312" w:eastAsia="仿宋_GB2312" w:cs="仿宋_GB2312"/>
              </w:rPr>
            </w:pPr>
          </w:p>
        </w:tc>
        <w:tc>
          <w:tcPr>
            <w:tcW w:w="4535"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合计</w:t>
            </w:r>
          </w:p>
        </w:tc>
        <w:tc>
          <w:tcPr>
            <w:tcW w:w="2551"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331.94</w:t>
            </w:r>
          </w:p>
        </w:tc>
        <w:tc>
          <w:tcPr>
            <w:tcW w:w="2551"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323.40</w:t>
            </w:r>
          </w:p>
        </w:tc>
        <w:tc>
          <w:tcPr>
            <w:tcW w:w="2551"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8.54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301</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工资福利支出</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323.40</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323.40</w:t>
            </w:r>
          </w:p>
        </w:tc>
        <w:tc>
          <w:tcPr>
            <w:tcW w:w="255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30101</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基本工资</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142.60</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142.60</w:t>
            </w:r>
          </w:p>
        </w:tc>
        <w:tc>
          <w:tcPr>
            <w:tcW w:w="255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30102</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津贴补贴</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14.42</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14.42</w:t>
            </w:r>
          </w:p>
        </w:tc>
        <w:tc>
          <w:tcPr>
            <w:tcW w:w="255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5</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30107</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绩效工资</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75.85</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75.85</w:t>
            </w:r>
          </w:p>
        </w:tc>
        <w:tc>
          <w:tcPr>
            <w:tcW w:w="255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6</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30108</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机关事业单位基本养老保险缴费</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36.14</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36.14</w:t>
            </w:r>
          </w:p>
        </w:tc>
        <w:tc>
          <w:tcPr>
            <w:tcW w:w="255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7</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30109</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职业年金缴费</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15.00</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15.00</w:t>
            </w:r>
          </w:p>
        </w:tc>
        <w:tc>
          <w:tcPr>
            <w:tcW w:w="255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8</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30110</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职工基本医疗保险缴费</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17.69</w:t>
            </w:r>
          </w:p>
        </w:tc>
        <w:tc>
          <w:tcPr>
            <w:tcW w:w="255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9</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30112</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其他社会保障缴费</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2.87</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2.87</w:t>
            </w:r>
          </w:p>
        </w:tc>
        <w:tc>
          <w:tcPr>
            <w:tcW w:w="255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10</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30113</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住房公积金</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18.83</w:t>
            </w:r>
          </w:p>
        </w:tc>
        <w:tc>
          <w:tcPr>
            <w:tcW w:w="255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11</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302</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商品和服务支出</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8.54</w:t>
            </w:r>
          </w:p>
        </w:tc>
        <w:tc>
          <w:tcPr>
            <w:tcW w:w="2551" w:type="dxa"/>
            <w:vAlign w:val="center"/>
          </w:tcPr>
          <w:p>
            <w:pPr>
              <w:pStyle w:val="12"/>
              <w:rPr>
                <w:rFonts w:hint="eastAsia" w:ascii="仿宋_GB2312" w:hAnsi="仿宋_GB2312" w:eastAsia="仿宋_GB2312" w:cs="仿宋_GB2312"/>
              </w:rPr>
            </w:pP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8.54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12</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30201</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办公费</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4.00</w:t>
            </w:r>
          </w:p>
        </w:tc>
        <w:tc>
          <w:tcPr>
            <w:tcW w:w="2551" w:type="dxa"/>
            <w:vAlign w:val="center"/>
          </w:tcPr>
          <w:p>
            <w:pPr>
              <w:pStyle w:val="12"/>
              <w:rPr>
                <w:rFonts w:hint="eastAsia" w:ascii="仿宋_GB2312" w:hAnsi="仿宋_GB2312" w:eastAsia="仿宋_GB2312" w:cs="仿宋_GB2312"/>
              </w:rPr>
            </w:pP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13</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30211</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差旅费</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0.50</w:t>
            </w:r>
          </w:p>
        </w:tc>
        <w:tc>
          <w:tcPr>
            <w:tcW w:w="2551" w:type="dxa"/>
            <w:vAlign w:val="center"/>
          </w:tcPr>
          <w:p>
            <w:pPr>
              <w:pStyle w:val="12"/>
              <w:rPr>
                <w:rFonts w:hint="eastAsia" w:ascii="仿宋_GB2312" w:hAnsi="仿宋_GB2312" w:eastAsia="仿宋_GB2312" w:cs="仿宋_GB2312"/>
              </w:rPr>
            </w:pP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14</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30217</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公务接待费</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0.40</w:t>
            </w:r>
          </w:p>
        </w:tc>
        <w:tc>
          <w:tcPr>
            <w:tcW w:w="2551" w:type="dxa"/>
            <w:vAlign w:val="center"/>
          </w:tcPr>
          <w:p>
            <w:pPr>
              <w:pStyle w:val="12"/>
              <w:rPr>
                <w:rFonts w:hint="eastAsia" w:ascii="仿宋_GB2312" w:hAnsi="仿宋_GB2312" w:eastAsia="仿宋_GB2312" w:cs="仿宋_GB2312"/>
              </w:rPr>
            </w:pP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15</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30228</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工会经费</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2.17</w:t>
            </w:r>
          </w:p>
        </w:tc>
        <w:tc>
          <w:tcPr>
            <w:tcW w:w="2551" w:type="dxa"/>
            <w:vAlign w:val="center"/>
          </w:tcPr>
          <w:p>
            <w:pPr>
              <w:pStyle w:val="12"/>
              <w:rPr>
                <w:rFonts w:hint="eastAsia" w:ascii="仿宋_GB2312" w:hAnsi="仿宋_GB2312" w:eastAsia="仿宋_GB2312" w:cs="仿宋_GB2312"/>
              </w:rPr>
            </w:pP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2.17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16</w:t>
            </w:r>
          </w:p>
        </w:tc>
        <w:tc>
          <w:tcPr>
            <w:tcW w:w="1191"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30299</w:t>
            </w:r>
          </w:p>
        </w:tc>
        <w:tc>
          <w:tcPr>
            <w:tcW w:w="4535"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其他商品和服务支出</w:t>
            </w: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1.47</w:t>
            </w:r>
          </w:p>
        </w:tc>
        <w:tc>
          <w:tcPr>
            <w:tcW w:w="2551" w:type="dxa"/>
            <w:vAlign w:val="center"/>
          </w:tcPr>
          <w:p>
            <w:pPr>
              <w:pStyle w:val="12"/>
              <w:rPr>
                <w:rFonts w:hint="eastAsia" w:ascii="仿宋_GB2312" w:hAnsi="仿宋_GB2312" w:eastAsia="仿宋_GB2312" w:cs="仿宋_GB2312"/>
              </w:rPr>
            </w:pPr>
          </w:p>
        </w:tc>
        <w:tc>
          <w:tcPr>
            <w:tcW w:w="255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1.47</w:t>
            </w:r>
          </w:p>
        </w:tc>
      </w:tr>
    </w:tbl>
    <w:p>
      <w:pPr>
        <w:rPr>
          <w:rFonts w:hint="eastAsia" w:ascii="仿宋_GB2312" w:hAnsi="仿宋_GB2312" w:eastAsia="仿宋_GB2312" w:cs="仿宋_GB2312"/>
        </w:r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rFonts w:hint="eastAsia" w:ascii="方正小标宋简体" w:hAnsi="方正小标宋简体" w:eastAsia="方正小标宋简体" w:cs="方正小标宋简体"/>
        </w:rPr>
      </w:pPr>
      <w:bookmarkStart w:id="6" w:name="_Toc_2_2_0000000007"/>
      <w:r>
        <w:rPr>
          <w:rFonts w:hint="eastAsia" w:ascii="方正小标宋简体" w:hAnsi="方正小标宋简体" w:eastAsia="方正小标宋简体" w:cs="方正小标宋简体"/>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rFonts w:hint="eastAsia" w:ascii="仿宋_GB2312" w:hAnsi="仿宋_GB2312" w:eastAsia="仿宋_GB2312" w:cs="仿宋_GB2312"/>
              </w:rPr>
            </w:pPr>
            <w:r>
              <w:rPr>
                <w:rFonts w:hint="eastAsia" w:ascii="仿宋_GB2312" w:hAnsi="仿宋_GB2312" w:eastAsia="仿宋_GB2312" w:cs="仿宋_GB2312"/>
              </w:rPr>
              <w:t>438昌黎县政府投资项目代建中心</w:t>
            </w:r>
          </w:p>
        </w:tc>
        <w:tc>
          <w:tcPr>
            <w:tcW w:w="2551" w:type="dxa"/>
            <w:tcBorders>
              <w:top w:val="single" w:color="FFFFFF" w:sz="6" w:space="0"/>
              <w:left w:val="single" w:color="FFFFFF" w:sz="6" w:space="0"/>
              <w:right w:val="single" w:color="FFFFFF" w:sz="6" w:space="0"/>
            </w:tcBorders>
            <w:vAlign w:val="center"/>
          </w:tcPr>
          <w:p>
            <w:pPr>
              <w:pStyle w:val="9"/>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8"/>
              <w:rPr>
                <w:rFonts w:hint="eastAsia" w:ascii="仿宋_GB2312" w:hAnsi="仿宋_GB2312" w:eastAsia="仿宋_GB2312" w:cs="仿宋_GB2312"/>
              </w:rPr>
            </w:pPr>
            <w:r>
              <w:rPr>
                <w:rFonts w:hint="eastAsia" w:ascii="仿宋_GB2312" w:hAnsi="仿宋_GB2312" w:eastAsia="仿宋_GB2312" w:cs="仿宋_GB2312"/>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序号</w:t>
            </w:r>
          </w:p>
        </w:tc>
        <w:tc>
          <w:tcPr>
            <w:tcW w:w="5726" w:type="dxa"/>
            <w:gridSpan w:val="2"/>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2551"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合计</w:t>
            </w:r>
          </w:p>
        </w:tc>
        <w:tc>
          <w:tcPr>
            <w:tcW w:w="2551"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基本支出</w:t>
            </w:r>
          </w:p>
        </w:tc>
        <w:tc>
          <w:tcPr>
            <w:tcW w:w="2551"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仿宋_GB2312" w:hAnsi="仿宋_GB2312" w:eastAsia="仿宋_GB2312" w:cs="仿宋_GB2312"/>
              </w:rPr>
            </w:pPr>
          </w:p>
        </w:tc>
        <w:tc>
          <w:tcPr>
            <w:tcW w:w="119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科目编码</w:t>
            </w:r>
          </w:p>
        </w:tc>
        <w:tc>
          <w:tcPr>
            <w:tcW w:w="4535"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科目名称</w:t>
            </w:r>
          </w:p>
        </w:tc>
        <w:tc>
          <w:tcPr>
            <w:tcW w:w="2551" w:type="dxa"/>
            <w:vMerge w:val="continue"/>
          </w:tcPr>
          <w:p>
            <w:pPr>
              <w:rPr>
                <w:rFonts w:hint="eastAsia" w:ascii="仿宋_GB2312" w:hAnsi="仿宋_GB2312" w:eastAsia="仿宋_GB2312" w:cs="仿宋_GB2312"/>
              </w:rPr>
            </w:pPr>
          </w:p>
        </w:tc>
        <w:tc>
          <w:tcPr>
            <w:tcW w:w="2551" w:type="dxa"/>
            <w:vMerge w:val="continue"/>
          </w:tcPr>
          <w:p>
            <w:pPr>
              <w:rPr>
                <w:rFonts w:hint="eastAsia" w:ascii="仿宋_GB2312" w:hAnsi="仿宋_GB2312" w:eastAsia="仿宋_GB2312" w:cs="仿宋_GB2312"/>
              </w:rPr>
            </w:pPr>
          </w:p>
        </w:tc>
        <w:tc>
          <w:tcPr>
            <w:tcW w:w="2551" w:type="dxa"/>
            <w:vMerge w:val="continue"/>
          </w:tcPr>
          <w:p>
            <w:pPr>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栏次</w:t>
            </w:r>
          </w:p>
        </w:tc>
        <w:tc>
          <w:tcPr>
            <w:tcW w:w="119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1</w:t>
            </w:r>
          </w:p>
        </w:tc>
        <w:tc>
          <w:tcPr>
            <w:tcW w:w="4535"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2</w:t>
            </w:r>
          </w:p>
        </w:tc>
        <w:tc>
          <w:tcPr>
            <w:tcW w:w="255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3</w:t>
            </w:r>
          </w:p>
        </w:tc>
        <w:tc>
          <w:tcPr>
            <w:tcW w:w="255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4</w:t>
            </w:r>
          </w:p>
        </w:tc>
        <w:tc>
          <w:tcPr>
            <w:tcW w:w="255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p>
        </w:tc>
        <w:tc>
          <w:tcPr>
            <w:tcW w:w="1191" w:type="dxa"/>
            <w:vAlign w:val="center"/>
          </w:tcPr>
          <w:p>
            <w:pPr>
              <w:pStyle w:val="13"/>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p>
        </w:tc>
        <w:tc>
          <w:tcPr>
            <w:tcW w:w="2551" w:type="dxa"/>
            <w:vAlign w:val="center"/>
          </w:tcPr>
          <w:p>
            <w:pPr>
              <w:pStyle w:val="12"/>
              <w:rPr>
                <w:rFonts w:hint="eastAsia" w:ascii="仿宋_GB2312" w:hAnsi="仿宋_GB2312" w:eastAsia="仿宋_GB2312" w:cs="仿宋_GB2312"/>
              </w:rPr>
            </w:pPr>
          </w:p>
        </w:tc>
        <w:tc>
          <w:tcPr>
            <w:tcW w:w="2551" w:type="dxa"/>
            <w:vAlign w:val="center"/>
          </w:tcPr>
          <w:p>
            <w:pPr>
              <w:pStyle w:val="12"/>
              <w:rPr>
                <w:rFonts w:hint="eastAsia" w:ascii="仿宋_GB2312" w:hAnsi="仿宋_GB2312" w:eastAsia="仿宋_GB2312" w:cs="仿宋_GB2312"/>
              </w:rPr>
            </w:pPr>
          </w:p>
        </w:tc>
        <w:tc>
          <w:tcPr>
            <w:tcW w:w="2551" w:type="dxa"/>
            <w:vAlign w:val="center"/>
          </w:tcPr>
          <w:p>
            <w:pPr>
              <w:pStyle w:val="12"/>
              <w:rPr>
                <w:rFonts w:hint="eastAsia" w:ascii="仿宋_GB2312" w:hAnsi="仿宋_GB2312" w:eastAsia="仿宋_GB2312" w:cs="仿宋_GB2312"/>
              </w:rPr>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21"/>
        </w:rPr>
        <w:t>注：无政府性基金预算财政拨款预算，空表列示。</w:t>
      </w:r>
    </w:p>
    <w:p>
      <w:pPr>
        <w:spacing w:before="0" w:after="0" w:line="240" w:lineRule="auto"/>
        <w:ind w:firstLine="0"/>
        <w:jc w:val="center"/>
        <w:outlineLvl w:val="1"/>
        <w:rPr>
          <w:rFonts w:hint="eastAsia" w:ascii="方正小标宋简体" w:hAnsi="方正小标宋简体" w:eastAsia="方正小标宋简体" w:cs="方正小标宋简体"/>
        </w:rPr>
      </w:pPr>
      <w:bookmarkStart w:id="7" w:name="_Toc_2_2_0000000008"/>
      <w:r>
        <w:rPr>
          <w:rFonts w:hint="eastAsia" w:ascii="方正小标宋简体" w:hAnsi="方正小标宋简体" w:eastAsia="方正小标宋简体" w:cs="方正小标宋简体"/>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rPr>
                <w:rFonts w:hint="eastAsia" w:ascii="仿宋_GB2312" w:hAnsi="仿宋_GB2312" w:eastAsia="仿宋_GB2312" w:cs="仿宋_GB2312"/>
              </w:rPr>
            </w:pPr>
            <w:r>
              <w:rPr>
                <w:rFonts w:hint="eastAsia" w:ascii="仿宋_GB2312" w:hAnsi="仿宋_GB2312" w:eastAsia="仿宋_GB2312" w:cs="仿宋_GB2312"/>
              </w:rPr>
              <w:t>438昌黎县政府投资项目代建中心</w:t>
            </w:r>
          </w:p>
        </w:tc>
        <w:tc>
          <w:tcPr>
            <w:tcW w:w="2551" w:type="dxa"/>
            <w:tcBorders>
              <w:top w:val="single" w:color="FFFFFF" w:sz="6" w:space="0"/>
              <w:left w:val="single" w:color="FFFFFF" w:sz="6" w:space="0"/>
              <w:right w:val="single" w:color="FFFFFF" w:sz="6" w:space="0"/>
            </w:tcBorders>
            <w:vAlign w:val="center"/>
          </w:tcPr>
          <w:p>
            <w:pPr>
              <w:pStyle w:val="9"/>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5102" w:type="dxa"/>
            <w:gridSpan w:val="2"/>
            <w:tcBorders>
              <w:top w:val="single" w:color="FFFFFF" w:sz="6" w:space="0"/>
              <w:left w:val="single" w:color="FFFFFF" w:sz="6" w:space="0"/>
              <w:right w:val="single" w:color="FFFFFF" w:sz="6" w:space="0"/>
            </w:tcBorders>
            <w:vAlign w:val="center"/>
          </w:tcPr>
          <w:p>
            <w:pPr>
              <w:pStyle w:val="8"/>
              <w:rPr>
                <w:rFonts w:hint="eastAsia" w:ascii="仿宋_GB2312" w:hAnsi="仿宋_GB2312" w:eastAsia="仿宋_GB2312" w:cs="仿宋_GB2312"/>
              </w:rPr>
            </w:pPr>
            <w:r>
              <w:rPr>
                <w:rFonts w:hint="eastAsia" w:ascii="仿宋_GB2312" w:hAnsi="仿宋_GB2312" w:eastAsia="仿宋_GB2312" w:cs="仿宋_GB2312"/>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序号</w:t>
            </w:r>
          </w:p>
        </w:tc>
        <w:tc>
          <w:tcPr>
            <w:tcW w:w="5726" w:type="dxa"/>
            <w:gridSpan w:val="2"/>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功能分类科目</w:t>
            </w:r>
          </w:p>
        </w:tc>
        <w:tc>
          <w:tcPr>
            <w:tcW w:w="2551"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合计</w:t>
            </w:r>
          </w:p>
        </w:tc>
        <w:tc>
          <w:tcPr>
            <w:tcW w:w="2551"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基本支出</w:t>
            </w:r>
          </w:p>
        </w:tc>
        <w:tc>
          <w:tcPr>
            <w:tcW w:w="2551"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rPr>
                <w:rFonts w:hint="eastAsia" w:ascii="仿宋_GB2312" w:hAnsi="仿宋_GB2312" w:eastAsia="仿宋_GB2312" w:cs="仿宋_GB2312"/>
              </w:rPr>
            </w:pPr>
          </w:p>
        </w:tc>
        <w:tc>
          <w:tcPr>
            <w:tcW w:w="119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科目编码</w:t>
            </w:r>
          </w:p>
        </w:tc>
        <w:tc>
          <w:tcPr>
            <w:tcW w:w="4535"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科目名称</w:t>
            </w:r>
          </w:p>
        </w:tc>
        <w:tc>
          <w:tcPr>
            <w:tcW w:w="2551" w:type="dxa"/>
            <w:vMerge w:val="continue"/>
          </w:tcPr>
          <w:p>
            <w:pPr>
              <w:rPr>
                <w:rFonts w:hint="eastAsia" w:ascii="仿宋_GB2312" w:hAnsi="仿宋_GB2312" w:eastAsia="仿宋_GB2312" w:cs="仿宋_GB2312"/>
              </w:rPr>
            </w:pPr>
          </w:p>
        </w:tc>
        <w:tc>
          <w:tcPr>
            <w:tcW w:w="2551" w:type="dxa"/>
            <w:vMerge w:val="continue"/>
          </w:tcPr>
          <w:p>
            <w:pPr>
              <w:rPr>
                <w:rFonts w:hint="eastAsia" w:ascii="仿宋_GB2312" w:hAnsi="仿宋_GB2312" w:eastAsia="仿宋_GB2312" w:cs="仿宋_GB2312"/>
              </w:rPr>
            </w:pPr>
          </w:p>
        </w:tc>
        <w:tc>
          <w:tcPr>
            <w:tcW w:w="2551" w:type="dxa"/>
            <w:vMerge w:val="continue"/>
          </w:tcPr>
          <w:p>
            <w:pPr>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栏次</w:t>
            </w:r>
          </w:p>
        </w:tc>
        <w:tc>
          <w:tcPr>
            <w:tcW w:w="119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1</w:t>
            </w:r>
          </w:p>
        </w:tc>
        <w:tc>
          <w:tcPr>
            <w:tcW w:w="4535"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2</w:t>
            </w:r>
          </w:p>
        </w:tc>
        <w:tc>
          <w:tcPr>
            <w:tcW w:w="255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3</w:t>
            </w:r>
          </w:p>
        </w:tc>
        <w:tc>
          <w:tcPr>
            <w:tcW w:w="255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4</w:t>
            </w:r>
          </w:p>
        </w:tc>
        <w:tc>
          <w:tcPr>
            <w:tcW w:w="255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ascii="仿宋_GB2312" w:hAnsi="仿宋_GB2312" w:eastAsia="仿宋_GB2312" w:cs="仿宋_GB2312"/>
              </w:rPr>
            </w:pPr>
          </w:p>
        </w:tc>
        <w:tc>
          <w:tcPr>
            <w:tcW w:w="1191" w:type="dxa"/>
            <w:vAlign w:val="center"/>
          </w:tcPr>
          <w:p>
            <w:pPr>
              <w:pStyle w:val="13"/>
              <w:rPr>
                <w:rFonts w:hint="eastAsia" w:ascii="仿宋_GB2312" w:hAnsi="仿宋_GB2312" w:eastAsia="仿宋_GB2312" w:cs="仿宋_GB2312"/>
              </w:rPr>
            </w:pPr>
          </w:p>
        </w:tc>
        <w:tc>
          <w:tcPr>
            <w:tcW w:w="4535" w:type="dxa"/>
            <w:vAlign w:val="center"/>
          </w:tcPr>
          <w:p>
            <w:pPr>
              <w:pStyle w:val="13"/>
              <w:rPr>
                <w:rFonts w:hint="eastAsia" w:ascii="仿宋_GB2312" w:hAnsi="仿宋_GB2312" w:eastAsia="仿宋_GB2312" w:cs="仿宋_GB2312"/>
              </w:rPr>
            </w:pPr>
          </w:p>
        </w:tc>
        <w:tc>
          <w:tcPr>
            <w:tcW w:w="2551" w:type="dxa"/>
            <w:vAlign w:val="center"/>
          </w:tcPr>
          <w:p>
            <w:pPr>
              <w:pStyle w:val="12"/>
              <w:rPr>
                <w:rFonts w:hint="eastAsia" w:ascii="仿宋_GB2312" w:hAnsi="仿宋_GB2312" w:eastAsia="仿宋_GB2312" w:cs="仿宋_GB2312"/>
              </w:rPr>
            </w:pPr>
          </w:p>
        </w:tc>
        <w:tc>
          <w:tcPr>
            <w:tcW w:w="2551" w:type="dxa"/>
            <w:vAlign w:val="center"/>
          </w:tcPr>
          <w:p>
            <w:pPr>
              <w:pStyle w:val="12"/>
              <w:rPr>
                <w:rFonts w:hint="eastAsia" w:ascii="仿宋_GB2312" w:hAnsi="仿宋_GB2312" w:eastAsia="仿宋_GB2312" w:cs="仿宋_GB2312"/>
              </w:rPr>
            </w:pPr>
          </w:p>
        </w:tc>
        <w:tc>
          <w:tcPr>
            <w:tcW w:w="2551" w:type="dxa"/>
            <w:vAlign w:val="center"/>
          </w:tcPr>
          <w:p>
            <w:pPr>
              <w:pStyle w:val="12"/>
              <w:rPr>
                <w:rFonts w:hint="eastAsia" w:ascii="仿宋_GB2312" w:hAnsi="仿宋_GB2312" w:eastAsia="仿宋_GB2312" w:cs="仿宋_GB2312"/>
              </w:rPr>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21"/>
        </w:rPr>
        <w:t>注：无国有资本经营预算财政拨款预算，空表列示。</w:t>
      </w:r>
    </w:p>
    <w:p>
      <w:pPr>
        <w:spacing w:before="0" w:after="0" w:line="240" w:lineRule="auto"/>
        <w:ind w:firstLine="0"/>
        <w:jc w:val="center"/>
        <w:outlineLvl w:val="1"/>
        <w:rPr>
          <w:rFonts w:hint="eastAsia" w:ascii="方正小标宋简体" w:hAnsi="方正小标宋简体" w:eastAsia="方正小标宋简体" w:cs="方正小标宋简体"/>
        </w:rPr>
      </w:pPr>
      <w:bookmarkStart w:id="8" w:name="_Toc_2_2_0000000009"/>
      <w:r>
        <w:rPr>
          <w:rFonts w:hint="eastAsia" w:ascii="方正小标宋简体" w:hAnsi="方正小标宋简体" w:eastAsia="方正小标宋简体" w:cs="方正小标宋简体"/>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rPr>
                <w:rFonts w:hint="eastAsia" w:ascii="仿宋_GB2312" w:hAnsi="仿宋_GB2312" w:eastAsia="仿宋_GB2312" w:cs="仿宋_GB2312"/>
              </w:rPr>
            </w:pPr>
            <w:r>
              <w:rPr>
                <w:rFonts w:hint="eastAsia" w:ascii="仿宋_GB2312" w:hAnsi="仿宋_GB2312" w:eastAsia="仿宋_GB2312" w:cs="仿宋_GB2312"/>
              </w:rPr>
              <w:t>438昌黎县政府投资项目代建中心</w:t>
            </w:r>
          </w:p>
        </w:tc>
        <w:tc>
          <w:tcPr>
            <w:tcW w:w="2381" w:type="dxa"/>
            <w:tcBorders>
              <w:top w:val="single" w:color="FFFFFF" w:sz="6" w:space="0"/>
              <w:left w:val="single" w:color="FFFFFF" w:sz="6" w:space="0"/>
              <w:right w:val="single" w:color="FFFFFF" w:sz="6" w:space="0"/>
            </w:tcBorders>
            <w:vAlign w:val="center"/>
          </w:tcPr>
          <w:p>
            <w:pPr>
              <w:pStyle w:val="9"/>
              <w:rPr>
                <w:rFonts w:hint="eastAsia" w:ascii="仿宋_GB2312" w:hAnsi="仿宋_GB2312" w:eastAsia="仿宋_GB2312" w:cs="仿宋_GB2312"/>
              </w:rPr>
            </w:pPr>
            <w:r>
              <w:rPr>
                <w:rFonts w:hint="eastAsia" w:ascii="仿宋_GB2312" w:hAnsi="仿宋_GB2312" w:eastAsia="仿宋_GB2312" w:cs="仿宋_GB2312"/>
              </w:rPr>
              <w:t>预算年度：2026</w:t>
            </w:r>
          </w:p>
        </w:tc>
        <w:tc>
          <w:tcPr>
            <w:tcW w:w="4762" w:type="dxa"/>
            <w:gridSpan w:val="2"/>
            <w:tcBorders>
              <w:top w:val="single" w:color="FFFFFF" w:sz="6" w:space="0"/>
              <w:left w:val="single" w:color="FFFFFF" w:sz="6" w:space="0"/>
              <w:right w:val="single" w:color="FFFFFF" w:sz="6" w:space="0"/>
            </w:tcBorders>
            <w:vAlign w:val="center"/>
          </w:tcPr>
          <w:p>
            <w:pPr>
              <w:pStyle w:val="8"/>
              <w:rPr>
                <w:rFonts w:hint="eastAsia" w:ascii="仿宋_GB2312" w:hAnsi="仿宋_GB2312" w:eastAsia="仿宋_GB2312" w:cs="仿宋_GB2312"/>
              </w:rPr>
            </w:pPr>
            <w:r>
              <w:rPr>
                <w:rFonts w:hint="eastAsia" w:ascii="仿宋_GB2312" w:hAnsi="仿宋_GB2312" w:eastAsia="仿宋_GB2312" w:cs="仿宋_GB2312"/>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序号</w:t>
            </w:r>
          </w:p>
        </w:tc>
        <w:tc>
          <w:tcPr>
            <w:tcW w:w="3798" w:type="dxa"/>
            <w:vMerge w:val="restart"/>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项  目</w:t>
            </w:r>
          </w:p>
        </w:tc>
        <w:tc>
          <w:tcPr>
            <w:tcW w:w="9524" w:type="dxa"/>
            <w:gridSpan w:val="4"/>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pPr>
              <w:rPr>
                <w:rFonts w:hint="eastAsia" w:ascii="仿宋_GB2312" w:hAnsi="仿宋_GB2312" w:eastAsia="仿宋_GB2312" w:cs="仿宋_GB2312"/>
              </w:rPr>
            </w:pPr>
          </w:p>
        </w:tc>
        <w:tc>
          <w:tcPr>
            <w:tcW w:w="3798" w:type="dxa"/>
            <w:vMerge w:val="continue"/>
          </w:tcPr>
          <w:p>
            <w:pPr>
              <w:rPr>
                <w:rFonts w:hint="eastAsia" w:ascii="仿宋_GB2312" w:hAnsi="仿宋_GB2312" w:eastAsia="仿宋_GB2312" w:cs="仿宋_GB2312"/>
              </w:rPr>
            </w:pPr>
          </w:p>
        </w:tc>
        <w:tc>
          <w:tcPr>
            <w:tcW w:w="238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合计</w:t>
            </w:r>
          </w:p>
        </w:tc>
        <w:tc>
          <w:tcPr>
            <w:tcW w:w="238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一般公共预算              财政拨款</w:t>
            </w:r>
          </w:p>
        </w:tc>
        <w:tc>
          <w:tcPr>
            <w:tcW w:w="238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政府性基金                  预算拨款</w:t>
            </w:r>
          </w:p>
        </w:tc>
        <w:tc>
          <w:tcPr>
            <w:tcW w:w="238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栏次</w:t>
            </w:r>
          </w:p>
        </w:tc>
        <w:tc>
          <w:tcPr>
            <w:tcW w:w="3798"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1</w:t>
            </w:r>
          </w:p>
        </w:tc>
        <w:tc>
          <w:tcPr>
            <w:tcW w:w="238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2</w:t>
            </w:r>
          </w:p>
        </w:tc>
        <w:tc>
          <w:tcPr>
            <w:tcW w:w="238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3</w:t>
            </w:r>
          </w:p>
        </w:tc>
        <w:tc>
          <w:tcPr>
            <w:tcW w:w="238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4</w:t>
            </w:r>
          </w:p>
        </w:tc>
        <w:tc>
          <w:tcPr>
            <w:tcW w:w="2381"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1</w:t>
            </w:r>
          </w:p>
        </w:tc>
        <w:tc>
          <w:tcPr>
            <w:tcW w:w="3798" w:type="dxa"/>
            <w:vAlign w:val="center"/>
          </w:tcPr>
          <w:p>
            <w:pPr>
              <w:pStyle w:val="15"/>
              <w:rPr>
                <w:rFonts w:hint="eastAsia" w:ascii="仿宋_GB2312" w:hAnsi="仿宋_GB2312" w:eastAsia="仿宋_GB2312" w:cs="仿宋_GB2312"/>
              </w:rPr>
            </w:pPr>
            <w:r>
              <w:rPr>
                <w:rFonts w:hint="eastAsia" w:ascii="仿宋_GB2312" w:hAnsi="仿宋_GB2312" w:eastAsia="仿宋_GB2312" w:cs="仿宋_GB2312"/>
              </w:rPr>
              <w:t>合计</w:t>
            </w:r>
          </w:p>
        </w:tc>
        <w:tc>
          <w:tcPr>
            <w:tcW w:w="2381"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0.40</w:t>
            </w:r>
          </w:p>
        </w:tc>
        <w:tc>
          <w:tcPr>
            <w:tcW w:w="2381" w:type="dxa"/>
            <w:vAlign w:val="center"/>
          </w:tcPr>
          <w:p>
            <w:pPr>
              <w:pStyle w:val="16"/>
              <w:rPr>
                <w:rFonts w:hint="eastAsia" w:ascii="仿宋_GB2312" w:hAnsi="仿宋_GB2312" w:eastAsia="仿宋_GB2312" w:cs="仿宋_GB2312"/>
              </w:rPr>
            </w:pPr>
            <w:r>
              <w:rPr>
                <w:rFonts w:hint="eastAsia" w:ascii="仿宋_GB2312" w:hAnsi="仿宋_GB2312" w:eastAsia="仿宋_GB2312" w:cs="仿宋_GB2312"/>
              </w:rPr>
              <w:t>0.40</w:t>
            </w:r>
          </w:p>
        </w:tc>
        <w:tc>
          <w:tcPr>
            <w:tcW w:w="2381" w:type="dxa"/>
            <w:vAlign w:val="center"/>
          </w:tcPr>
          <w:p>
            <w:pPr>
              <w:pStyle w:val="16"/>
              <w:rPr>
                <w:rFonts w:hint="eastAsia" w:ascii="仿宋_GB2312" w:hAnsi="仿宋_GB2312" w:eastAsia="仿宋_GB2312" w:cs="仿宋_GB2312"/>
              </w:rPr>
            </w:pPr>
          </w:p>
        </w:tc>
        <w:tc>
          <w:tcPr>
            <w:tcW w:w="2381" w:type="dxa"/>
            <w:vAlign w:val="center"/>
          </w:tcPr>
          <w:p>
            <w:pPr>
              <w:pStyle w:val="16"/>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2</w:t>
            </w:r>
          </w:p>
        </w:tc>
        <w:tc>
          <w:tcPr>
            <w:tcW w:w="3798"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“三公”经费小计</w:t>
            </w:r>
          </w:p>
        </w:tc>
        <w:tc>
          <w:tcPr>
            <w:tcW w:w="238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0.40</w:t>
            </w:r>
          </w:p>
        </w:tc>
        <w:tc>
          <w:tcPr>
            <w:tcW w:w="238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0.40</w:t>
            </w:r>
          </w:p>
        </w:tc>
        <w:tc>
          <w:tcPr>
            <w:tcW w:w="2381" w:type="dxa"/>
            <w:vAlign w:val="center"/>
          </w:tcPr>
          <w:p>
            <w:pPr>
              <w:pStyle w:val="12"/>
              <w:rPr>
                <w:rFonts w:hint="eastAsia" w:ascii="仿宋_GB2312" w:hAnsi="仿宋_GB2312" w:eastAsia="仿宋_GB2312" w:cs="仿宋_GB2312"/>
              </w:rPr>
            </w:pPr>
          </w:p>
        </w:tc>
        <w:tc>
          <w:tcPr>
            <w:tcW w:w="238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3</w:t>
            </w:r>
          </w:p>
        </w:tc>
        <w:tc>
          <w:tcPr>
            <w:tcW w:w="3798"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一、因公出国（境）费</w:t>
            </w:r>
          </w:p>
        </w:tc>
        <w:tc>
          <w:tcPr>
            <w:tcW w:w="2381" w:type="dxa"/>
            <w:vAlign w:val="center"/>
          </w:tcPr>
          <w:p>
            <w:pPr>
              <w:pStyle w:val="12"/>
              <w:rPr>
                <w:rFonts w:hint="eastAsia" w:ascii="仿宋_GB2312" w:hAnsi="仿宋_GB2312" w:eastAsia="仿宋_GB2312" w:cs="仿宋_GB2312"/>
              </w:rPr>
            </w:pPr>
          </w:p>
        </w:tc>
        <w:tc>
          <w:tcPr>
            <w:tcW w:w="2381" w:type="dxa"/>
            <w:vAlign w:val="center"/>
          </w:tcPr>
          <w:p>
            <w:pPr>
              <w:pStyle w:val="12"/>
              <w:rPr>
                <w:rFonts w:hint="eastAsia" w:ascii="仿宋_GB2312" w:hAnsi="仿宋_GB2312" w:eastAsia="仿宋_GB2312" w:cs="仿宋_GB2312"/>
              </w:rPr>
            </w:pPr>
          </w:p>
        </w:tc>
        <w:tc>
          <w:tcPr>
            <w:tcW w:w="2381" w:type="dxa"/>
            <w:vAlign w:val="center"/>
          </w:tcPr>
          <w:p>
            <w:pPr>
              <w:pStyle w:val="12"/>
              <w:rPr>
                <w:rFonts w:hint="eastAsia" w:ascii="仿宋_GB2312" w:hAnsi="仿宋_GB2312" w:eastAsia="仿宋_GB2312" w:cs="仿宋_GB2312"/>
              </w:rPr>
            </w:pPr>
          </w:p>
        </w:tc>
        <w:tc>
          <w:tcPr>
            <w:tcW w:w="238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4</w:t>
            </w:r>
          </w:p>
        </w:tc>
        <w:tc>
          <w:tcPr>
            <w:tcW w:w="3798"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 xml:space="preserve">    其中：教学科研人员因公出国（境）费</w:t>
            </w:r>
          </w:p>
        </w:tc>
        <w:tc>
          <w:tcPr>
            <w:tcW w:w="2381" w:type="dxa"/>
            <w:vAlign w:val="center"/>
          </w:tcPr>
          <w:p>
            <w:pPr>
              <w:pStyle w:val="12"/>
              <w:rPr>
                <w:rFonts w:hint="eastAsia" w:ascii="仿宋_GB2312" w:hAnsi="仿宋_GB2312" w:eastAsia="仿宋_GB2312" w:cs="仿宋_GB2312"/>
              </w:rPr>
            </w:pPr>
          </w:p>
        </w:tc>
        <w:tc>
          <w:tcPr>
            <w:tcW w:w="2381" w:type="dxa"/>
            <w:vAlign w:val="center"/>
          </w:tcPr>
          <w:p>
            <w:pPr>
              <w:pStyle w:val="12"/>
              <w:rPr>
                <w:rFonts w:hint="eastAsia" w:ascii="仿宋_GB2312" w:hAnsi="仿宋_GB2312" w:eastAsia="仿宋_GB2312" w:cs="仿宋_GB2312"/>
              </w:rPr>
            </w:pPr>
          </w:p>
        </w:tc>
        <w:tc>
          <w:tcPr>
            <w:tcW w:w="2381" w:type="dxa"/>
            <w:vAlign w:val="center"/>
          </w:tcPr>
          <w:p>
            <w:pPr>
              <w:pStyle w:val="12"/>
              <w:rPr>
                <w:rFonts w:hint="eastAsia" w:ascii="仿宋_GB2312" w:hAnsi="仿宋_GB2312" w:eastAsia="仿宋_GB2312" w:cs="仿宋_GB2312"/>
              </w:rPr>
            </w:pPr>
          </w:p>
        </w:tc>
        <w:tc>
          <w:tcPr>
            <w:tcW w:w="238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5</w:t>
            </w:r>
          </w:p>
        </w:tc>
        <w:tc>
          <w:tcPr>
            <w:tcW w:w="3798"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 xml:space="preserve">          其他因公出国（境）费</w:t>
            </w:r>
          </w:p>
        </w:tc>
        <w:tc>
          <w:tcPr>
            <w:tcW w:w="2381" w:type="dxa"/>
            <w:vAlign w:val="center"/>
          </w:tcPr>
          <w:p>
            <w:pPr>
              <w:pStyle w:val="12"/>
              <w:rPr>
                <w:rFonts w:hint="eastAsia" w:ascii="仿宋_GB2312" w:hAnsi="仿宋_GB2312" w:eastAsia="仿宋_GB2312" w:cs="仿宋_GB2312"/>
              </w:rPr>
            </w:pPr>
          </w:p>
        </w:tc>
        <w:tc>
          <w:tcPr>
            <w:tcW w:w="2381" w:type="dxa"/>
            <w:vAlign w:val="center"/>
          </w:tcPr>
          <w:p>
            <w:pPr>
              <w:pStyle w:val="12"/>
              <w:rPr>
                <w:rFonts w:hint="eastAsia" w:ascii="仿宋_GB2312" w:hAnsi="仿宋_GB2312" w:eastAsia="仿宋_GB2312" w:cs="仿宋_GB2312"/>
              </w:rPr>
            </w:pPr>
          </w:p>
        </w:tc>
        <w:tc>
          <w:tcPr>
            <w:tcW w:w="2381" w:type="dxa"/>
            <w:vAlign w:val="center"/>
          </w:tcPr>
          <w:p>
            <w:pPr>
              <w:pStyle w:val="12"/>
              <w:rPr>
                <w:rFonts w:hint="eastAsia" w:ascii="仿宋_GB2312" w:hAnsi="仿宋_GB2312" w:eastAsia="仿宋_GB2312" w:cs="仿宋_GB2312"/>
              </w:rPr>
            </w:pPr>
          </w:p>
        </w:tc>
        <w:tc>
          <w:tcPr>
            <w:tcW w:w="238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6</w:t>
            </w:r>
          </w:p>
        </w:tc>
        <w:tc>
          <w:tcPr>
            <w:tcW w:w="3798"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二、公务用车购置及运维费</w:t>
            </w:r>
          </w:p>
        </w:tc>
        <w:tc>
          <w:tcPr>
            <w:tcW w:w="2381" w:type="dxa"/>
            <w:vAlign w:val="center"/>
          </w:tcPr>
          <w:p>
            <w:pPr>
              <w:pStyle w:val="12"/>
              <w:rPr>
                <w:rFonts w:hint="eastAsia" w:ascii="仿宋_GB2312" w:hAnsi="仿宋_GB2312" w:eastAsia="仿宋_GB2312" w:cs="仿宋_GB2312"/>
              </w:rPr>
            </w:pPr>
          </w:p>
        </w:tc>
        <w:tc>
          <w:tcPr>
            <w:tcW w:w="2381" w:type="dxa"/>
            <w:vAlign w:val="center"/>
          </w:tcPr>
          <w:p>
            <w:pPr>
              <w:pStyle w:val="12"/>
              <w:rPr>
                <w:rFonts w:hint="eastAsia" w:ascii="仿宋_GB2312" w:hAnsi="仿宋_GB2312" w:eastAsia="仿宋_GB2312" w:cs="仿宋_GB2312"/>
              </w:rPr>
            </w:pPr>
          </w:p>
        </w:tc>
        <w:tc>
          <w:tcPr>
            <w:tcW w:w="2381" w:type="dxa"/>
            <w:vAlign w:val="center"/>
          </w:tcPr>
          <w:p>
            <w:pPr>
              <w:pStyle w:val="12"/>
              <w:rPr>
                <w:rFonts w:hint="eastAsia" w:ascii="仿宋_GB2312" w:hAnsi="仿宋_GB2312" w:eastAsia="仿宋_GB2312" w:cs="仿宋_GB2312"/>
              </w:rPr>
            </w:pPr>
          </w:p>
        </w:tc>
        <w:tc>
          <w:tcPr>
            <w:tcW w:w="238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7</w:t>
            </w:r>
          </w:p>
        </w:tc>
        <w:tc>
          <w:tcPr>
            <w:tcW w:w="3798"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 xml:space="preserve">    其中：公务用车购置费</w:t>
            </w:r>
          </w:p>
        </w:tc>
        <w:tc>
          <w:tcPr>
            <w:tcW w:w="2381" w:type="dxa"/>
            <w:vAlign w:val="center"/>
          </w:tcPr>
          <w:p>
            <w:pPr>
              <w:pStyle w:val="12"/>
              <w:rPr>
                <w:rFonts w:hint="eastAsia" w:ascii="仿宋_GB2312" w:hAnsi="仿宋_GB2312" w:eastAsia="仿宋_GB2312" w:cs="仿宋_GB2312"/>
              </w:rPr>
            </w:pPr>
          </w:p>
        </w:tc>
        <w:tc>
          <w:tcPr>
            <w:tcW w:w="2381" w:type="dxa"/>
            <w:vAlign w:val="center"/>
          </w:tcPr>
          <w:p>
            <w:pPr>
              <w:pStyle w:val="12"/>
              <w:rPr>
                <w:rFonts w:hint="eastAsia" w:ascii="仿宋_GB2312" w:hAnsi="仿宋_GB2312" w:eastAsia="仿宋_GB2312" w:cs="仿宋_GB2312"/>
              </w:rPr>
            </w:pPr>
          </w:p>
        </w:tc>
        <w:tc>
          <w:tcPr>
            <w:tcW w:w="2381" w:type="dxa"/>
            <w:vAlign w:val="center"/>
          </w:tcPr>
          <w:p>
            <w:pPr>
              <w:pStyle w:val="12"/>
              <w:rPr>
                <w:rFonts w:hint="eastAsia" w:ascii="仿宋_GB2312" w:hAnsi="仿宋_GB2312" w:eastAsia="仿宋_GB2312" w:cs="仿宋_GB2312"/>
              </w:rPr>
            </w:pPr>
          </w:p>
        </w:tc>
        <w:tc>
          <w:tcPr>
            <w:tcW w:w="238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8</w:t>
            </w:r>
          </w:p>
        </w:tc>
        <w:tc>
          <w:tcPr>
            <w:tcW w:w="3798"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 xml:space="preserve">          公务用车运行维护费</w:t>
            </w:r>
          </w:p>
        </w:tc>
        <w:tc>
          <w:tcPr>
            <w:tcW w:w="2381" w:type="dxa"/>
            <w:vAlign w:val="center"/>
          </w:tcPr>
          <w:p>
            <w:pPr>
              <w:pStyle w:val="12"/>
              <w:rPr>
                <w:rFonts w:hint="eastAsia" w:ascii="仿宋_GB2312" w:hAnsi="仿宋_GB2312" w:eastAsia="仿宋_GB2312" w:cs="仿宋_GB2312"/>
              </w:rPr>
            </w:pPr>
          </w:p>
        </w:tc>
        <w:tc>
          <w:tcPr>
            <w:tcW w:w="2381" w:type="dxa"/>
            <w:vAlign w:val="center"/>
          </w:tcPr>
          <w:p>
            <w:pPr>
              <w:pStyle w:val="12"/>
              <w:rPr>
                <w:rFonts w:hint="eastAsia" w:ascii="仿宋_GB2312" w:hAnsi="仿宋_GB2312" w:eastAsia="仿宋_GB2312" w:cs="仿宋_GB2312"/>
              </w:rPr>
            </w:pPr>
          </w:p>
        </w:tc>
        <w:tc>
          <w:tcPr>
            <w:tcW w:w="2381" w:type="dxa"/>
            <w:vAlign w:val="center"/>
          </w:tcPr>
          <w:p>
            <w:pPr>
              <w:pStyle w:val="12"/>
              <w:rPr>
                <w:rFonts w:hint="eastAsia" w:ascii="仿宋_GB2312" w:hAnsi="仿宋_GB2312" w:eastAsia="仿宋_GB2312" w:cs="仿宋_GB2312"/>
              </w:rPr>
            </w:pPr>
          </w:p>
        </w:tc>
        <w:tc>
          <w:tcPr>
            <w:tcW w:w="2381" w:type="dxa"/>
            <w:vAlign w:val="center"/>
          </w:tcPr>
          <w:p>
            <w:pPr>
              <w:pStyle w:val="12"/>
              <w:rPr>
                <w:rFonts w:hint="eastAsia" w:ascii="仿宋_GB2312" w:hAnsi="仿宋_GB2312" w:eastAsia="仿宋_GB2312" w:cs="仿宋_GB23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9</w:t>
            </w:r>
          </w:p>
        </w:tc>
        <w:tc>
          <w:tcPr>
            <w:tcW w:w="3798"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三、公务接待费</w:t>
            </w:r>
          </w:p>
        </w:tc>
        <w:tc>
          <w:tcPr>
            <w:tcW w:w="238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0.40</w:t>
            </w:r>
          </w:p>
        </w:tc>
        <w:tc>
          <w:tcPr>
            <w:tcW w:w="2381" w:type="dxa"/>
            <w:vAlign w:val="center"/>
          </w:tcPr>
          <w:p>
            <w:pPr>
              <w:pStyle w:val="12"/>
              <w:rPr>
                <w:rFonts w:hint="eastAsia" w:ascii="仿宋_GB2312" w:hAnsi="仿宋_GB2312" w:eastAsia="仿宋_GB2312" w:cs="仿宋_GB2312"/>
              </w:rPr>
            </w:pPr>
            <w:r>
              <w:rPr>
                <w:rFonts w:hint="eastAsia" w:ascii="仿宋_GB2312" w:hAnsi="仿宋_GB2312" w:eastAsia="仿宋_GB2312" w:cs="仿宋_GB2312"/>
              </w:rPr>
              <w:t>0.40</w:t>
            </w:r>
          </w:p>
        </w:tc>
        <w:tc>
          <w:tcPr>
            <w:tcW w:w="2381" w:type="dxa"/>
            <w:vAlign w:val="center"/>
          </w:tcPr>
          <w:p>
            <w:pPr>
              <w:pStyle w:val="12"/>
              <w:rPr>
                <w:rFonts w:hint="eastAsia" w:ascii="仿宋_GB2312" w:hAnsi="仿宋_GB2312" w:eastAsia="仿宋_GB2312" w:cs="仿宋_GB2312"/>
              </w:rPr>
            </w:pPr>
          </w:p>
        </w:tc>
        <w:tc>
          <w:tcPr>
            <w:tcW w:w="2381" w:type="dxa"/>
            <w:vAlign w:val="center"/>
          </w:tcPr>
          <w:p>
            <w:pPr>
              <w:pStyle w:val="12"/>
              <w:rPr>
                <w:rFonts w:hint="eastAsia" w:ascii="仿宋_GB2312" w:hAnsi="仿宋_GB2312" w:eastAsia="仿宋_GB2312" w:cs="仿宋_GB2312"/>
              </w:rPr>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hint="eastAsia" w:ascii="仿宋_GB2312" w:hAnsi="仿宋_GB2312" w:eastAsia="仿宋_GB2312" w:cs="仿宋_GB2312"/>
          <w:color w:val="FFFFFF"/>
          <w:sz w:val="21"/>
        </w:rPr>
        <w:t>第一部分  昌黎县政府投资项目代建中心2026年部门预算信息公开情况说明</w:t>
      </w:r>
    </w:p>
    <w:p>
      <w:pPr>
        <w:spacing w:before="0" w:after="0" w:line="240" w:lineRule="auto"/>
        <w:ind w:firstLine="0"/>
        <w:jc w:val="center"/>
        <w:outlineLvl w:val="9"/>
      </w:pPr>
      <w:r>
        <w:rPr>
          <w:rFonts w:hint="eastAsia" w:ascii="方正小标宋简体" w:hAnsi="方正小标宋简体" w:eastAsia="方正小标宋简体" w:cs="方正小标宋简体"/>
          <w:color w:val="000000"/>
          <w:sz w:val="44"/>
        </w:rPr>
        <w:t>昌黎县政府投资项目代建中心2026年部门预算信息公开情况说明</w:t>
      </w:r>
    </w:p>
    <w:p>
      <w:pPr>
        <w:spacing w:before="0" w:after="0" w:line="500" w:lineRule="exact"/>
        <w:ind w:firstLine="560"/>
        <w:jc w:val="left"/>
        <w:outlineLvl w:val="9"/>
        <w:rPr>
          <w:rFonts w:hint="eastAsia" w:ascii="仿宋_GB2312" w:hAnsi="仿宋_GB2312" w:eastAsia="仿宋_GB2312" w:cs="仿宋_GB2312"/>
        </w:rPr>
      </w:pPr>
      <w:r>
        <w:rPr>
          <w:rFonts w:hint="eastAsia" w:ascii="仿宋_GB2312" w:hAnsi="仿宋_GB2312" w:eastAsia="仿宋_GB2312" w:cs="仿宋_GB2312"/>
          <w:color w:val="000000"/>
          <w:sz w:val="28"/>
        </w:rPr>
        <w:t>按照《中华人民共和国预算法》、《地方预决算公开操作规程》和《关于进一步推进预算公开工作的实施意见》规定，现将昌黎县政府投资项目代建中心2026年部门预算公开如下：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hint="eastAsia" w:ascii="楷体_GB2312" w:hAnsi="楷体_GB2312" w:eastAsia="楷体_GB2312" w:cs="楷体_GB2312"/>
          <w:b/>
          <w:color w:val="000000"/>
          <w:sz w:val="32"/>
        </w:rPr>
        <w:t>部门职责：</w:t>
      </w:r>
    </w:p>
    <w:p>
      <w:pPr>
        <w:spacing w:before="0" w:after="0" w:line="500" w:lineRule="exact"/>
        <w:ind w:firstLine="560"/>
        <w:jc w:val="left"/>
        <w:outlineLvl w:val="9"/>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加强对政府投资项目的统一管理，发挥政府投资的最大效益。负责政府投资项目的建设与管理，管理项目建设资金。</w:t>
      </w:r>
    </w:p>
    <w:p>
      <w:pPr>
        <w:spacing w:before="0" w:after="0" w:line="500" w:lineRule="exact"/>
        <w:ind w:firstLine="560"/>
        <w:jc w:val="left"/>
        <w:outlineLvl w:val="9"/>
        <w:rPr>
          <w:rFonts w:hint="eastAsia" w:ascii="仿宋_GB2312" w:hAnsi="仿宋_GB2312" w:eastAsia="仿宋_GB2312" w:cs="仿宋_GB2312"/>
          <w:color w:val="000000"/>
          <w:sz w:val="28"/>
        </w:rPr>
      </w:pPr>
      <w:r>
        <w:rPr>
          <w:rFonts w:hint="eastAsia" w:ascii="仿宋_GB2312" w:hAnsi="仿宋_GB2312" w:eastAsia="仿宋_GB2312" w:cs="仿宋_GB2312"/>
          <w:color w:val="000000"/>
          <w:sz w:val="28"/>
        </w:rPr>
        <w:t>参与工程的可行性研究、初步设计及投资计划的报批；负责申办建设用地规划许可证、建设工程规划许可证、国有土地使用证、建筑工程施工许可证及绿化、人防、消防、防震等开工前各项手续；组织开展施工图设计、勘察设计、施工、监理和设备材料招标；负责工程合同的洽谈、签订和管理工作，对工程建设施工现场和质量实行全程管理；负责按项目进度申请资金及拨付工程款，并及时向发展改革局、财政局报送有关报表；负责组织工程验收，对工程质量实行终身负责制；负责编制工程决算报告和工程竣工后有关技术材料的整理、移交工作。</w:t>
      </w:r>
    </w:p>
    <w:p>
      <w:pPr>
        <w:spacing w:before="0" w:after="0" w:line="240" w:lineRule="auto"/>
        <w:ind w:firstLine="640"/>
        <w:jc w:val="left"/>
        <w:outlineLvl w:val="9"/>
        <w:rPr>
          <w:rFonts w:hint="eastAsia" w:ascii="楷体_GB2312" w:hAnsi="楷体_GB2312" w:eastAsia="楷体_GB2312" w:cs="楷体_GB2312"/>
        </w:rPr>
      </w:pPr>
      <w:r>
        <w:rPr>
          <w:rFonts w:hint="eastAsia" w:ascii="楷体_GB2312" w:hAnsi="楷体_GB2312" w:eastAsia="楷体_GB2312" w:cs="楷体_GB2312"/>
          <w:b/>
          <w:color w:val="000000"/>
          <w:sz w:val="32"/>
        </w:rPr>
        <w:t>机构设置：</w:t>
      </w:r>
    </w:p>
    <w:p>
      <w:pPr>
        <w:spacing w:before="0" w:after="0" w:line="240" w:lineRule="auto"/>
        <w:ind w:firstLine="0"/>
        <w:jc w:val="center"/>
        <w:outlineLvl w:val="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单位名称</w:t>
            </w:r>
          </w:p>
        </w:tc>
        <w:tc>
          <w:tcPr>
            <w:tcW w:w="1843"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单位性质</w:t>
            </w:r>
          </w:p>
        </w:tc>
        <w:tc>
          <w:tcPr>
            <w:tcW w:w="2126"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单位规格</w:t>
            </w:r>
          </w:p>
        </w:tc>
        <w:tc>
          <w:tcPr>
            <w:tcW w:w="3827" w:type="dxa"/>
            <w:vAlign w:val="center"/>
          </w:tcPr>
          <w:p>
            <w:pPr>
              <w:pStyle w:val="11"/>
              <w:rPr>
                <w:rFonts w:hint="eastAsia" w:ascii="仿宋_GB2312" w:hAnsi="仿宋_GB2312" w:eastAsia="仿宋_GB2312" w:cs="仿宋_GB2312"/>
              </w:rPr>
            </w:pPr>
            <w:r>
              <w:rPr>
                <w:rFonts w:hint="eastAsia" w:ascii="仿宋_GB2312" w:hAnsi="仿宋_GB2312" w:eastAsia="仿宋_GB2312" w:cs="仿宋_GB2312"/>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rPr>
                <w:rFonts w:hint="eastAsia" w:ascii="仿宋_GB2312" w:hAnsi="仿宋_GB2312" w:eastAsia="仿宋_GB2312" w:cs="仿宋_GB2312"/>
              </w:rPr>
            </w:pPr>
            <w:r>
              <w:rPr>
                <w:rFonts w:hint="eastAsia" w:ascii="仿宋_GB2312" w:hAnsi="仿宋_GB2312" w:eastAsia="仿宋_GB2312" w:cs="仿宋_GB2312"/>
              </w:rPr>
              <w:t>昌黎县政府投资项目代建中心本级</w:t>
            </w:r>
          </w:p>
        </w:tc>
        <w:tc>
          <w:tcPr>
            <w:tcW w:w="1843"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事业</w:t>
            </w:r>
          </w:p>
        </w:tc>
        <w:tc>
          <w:tcPr>
            <w:tcW w:w="2126"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正科级</w:t>
            </w:r>
          </w:p>
        </w:tc>
        <w:tc>
          <w:tcPr>
            <w:tcW w:w="3827" w:type="dxa"/>
            <w:vAlign w:val="center"/>
          </w:tcPr>
          <w:p>
            <w:pPr>
              <w:pStyle w:val="14"/>
              <w:rPr>
                <w:rFonts w:hint="eastAsia" w:ascii="仿宋_GB2312" w:hAnsi="仿宋_GB2312" w:eastAsia="仿宋_GB2312" w:cs="仿宋_GB2312"/>
              </w:rPr>
            </w:pPr>
            <w:r>
              <w:rPr>
                <w:rFonts w:hint="eastAsia" w:ascii="仿宋_GB2312" w:hAnsi="仿宋_GB2312" w:eastAsia="仿宋_GB2312" w:cs="仿宋_GB2312"/>
              </w:rP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rPr>
          <w:rFonts w:hint="eastAsia" w:ascii="仿宋_GB2312" w:hAnsi="仿宋_GB2312" w:eastAsia="仿宋_GB2312" w:cs="仿宋_GB2312"/>
        </w:rPr>
      </w:pPr>
      <w:r>
        <w:rPr>
          <w:rFonts w:hint="eastAsia" w:ascii="仿宋_GB2312" w:hAnsi="仿宋_GB2312" w:eastAsia="仿宋_GB2312" w:cs="仿宋_GB2312"/>
        </w:rPr>
        <w:t>按照预算管理有关规定，目前部门预算的编制实行综合预算管理，即全部收入和支出都反映在预算中。昌黎县政府投资项目代建中心机关及所属事业单位的收支包含在部门预算中。</w:t>
      </w:r>
    </w:p>
    <w:p>
      <w:pPr>
        <w:pStyle w:val="19"/>
        <w:rPr>
          <w:rFonts w:hint="eastAsia" w:ascii="仿宋_GB2312" w:hAnsi="仿宋_GB2312" w:eastAsia="仿宋_GB2312" w:cs="仿宋_GB2312"/>
        </w:rPr>
      </w:pPr>
      <w:r>
        <w:rPr>
          <w:rFonts w:hint="eastAsia" w:ascii="仿宋_GB2312" w:hAnsi="仿宋_GB2312" w:eastAsia="仿宋_GB2312" w:cs="仿宋_GB2312"/>
        </w:rPr>
        <w:t>1、收入说明</w:t>
      </w:r>
    </w:p>
    <w:p>
      <w:pPr>
        <w:pStyle w:val="19"/>
        <w:rPr>
          <w:rFonts w:hint="eastAsia" w:ascii="仿宋_GB2312" w:hAnsi="仿宋_GB2312" w:eastAsia="仿宋_GB2312" w:cs="仿宋_GB2312"/>
        </w:rPr>
      </w:pPr>
      <w:r>
        <w:rPr>
          <w:rFonts w:hint="eastAsia" w:ascii="仿宋_GB2312" w:hAnsi="仿宋_GB2312" w:eastAsia="仿宋_GB2312" w:cs="仿宋_GB2312"/>
        </w:rPr>
        <w:t>反映本部门当年全部收入。2026年预算收入331.94万元，其中：一般公共预算收入331.94万元，基金预算收入0.00万元，国有资本经营预算收入0.00万元，财政专户核拨收入0.00万元，单位资金收入0.00万元，上年结转结余0.00万元。</w:t>
      </w:r>
    </w:p>
    <w:p>
      <w:pPr>
        <w:pStyle w:val="19"/>
        <w:rPr>
          <w:rFonts w:hint="eastAsia" w:ascii="仿宋_GB2312" w:hAnsi="仿宋_GB2312" w:eastAsia="仿宋_GB2312" w:cs="仿宋_GB2312"/>
        </w:rPr>
      </w:pPr>
      <w:r>
        <w:rPr>
          <w:rFonts w:hint="eastAsia" w:ascii="仿宋_GB2312" w:hAnsi="仿宋_GB2312" w:eastAsia="仿宋_GB2312" w:cs="仿宋_GB2312"/>
        </w:rPr>
        <w:t>2、支出说明</w:t>
      </w:r>
    </w:p>
    <w:p>
      <w:pPr>
        <w:pStyle w:val="19"/>
        <w:rPr>
          <w:rFonts w:hint="eastAsia" w:ascii="仿宋_GB2312" w:hAnsi="仿宋_GB2312" w:eastAsia="仿宋_GB2312" w:cs="仿宋_GB2312"/>
        </w:rPr>
      </w:pPr>
      <w:r>
        <w:rPr>
          <w:rFonts w:hint="eastAsia" w:ascii="仿宋_GB2312" w:hAnsi="仿宋_GB2312" w:eastAsia="仿宋_GB2312" w:cs="仿宋_GB2312"/>
        </w:rPr>
        <w:t>收支预算总表支出栏、基本支出表、项目支出表按经济分类和支出功能分类科目编制，反映昌黎县政府投资项目代建中心年度部门预算中支出预算的总体情况。2026年支出预算331.94万元，其中基本支出331.94万元，包括人员经费323.40万元和日常公用经费8.54万元；项目支出0.00万元，主要为2026年我部门无项目支出安排；预计下年使用的单位资金结余0.00万元。委托业务费共计安排0.00万元，主要用于因技术原因确需对外委托的辅助性工作和确有必要对外委托开展咨询、评审、规划等工作。</w:t>
      </w:r>
    </w:p>
    <w:p>
      <w:pPr>
        <w:pStyle w:val="19"/>
        <w:rPr>
          <w:rFonts w:hint="eastAsia" w:ascii="仿宋_GB2312" w:hAnsi="仿宋_GB2312" w:eastAsia="仿宋_GB2312" w:cs="仿宋_GB2312"/>
        </w:rPr>
      </w:pPr>
      <w:r>
        <w:rPr>
          <w:rFonts w:hint="eastAsia" w:ascii="仿宋_GB2312" w:hAnsi="仿宋_GB2312" w:eastAsia="仿宋_GB2312" w:cs="仿宋_GB2312"/>
        </w:rPr>
        <w:t>3、比上年增减情况</w:t>
      </w:r>
    </w:p>
    <w:p>
      <w:pPr>
        <w:pStyle w:val="19"/>
        <w:rPr>
          <w:rFonts w:hint="eastAsia" w:ascii="仿宋_GB2312" w:hAnsi="仿宋_GB2312" w:eastAsia="仿宋_GB2312" w:cs="仿宋_GB2312"/>
        </w:rPr>
      </w:pPr>
      <w:r>
        <w:rPr>
          <w:rFonts w:hint="eastAsia" w:ascii="仿宋_GB2312" w:hAnsi="仿宋_GB2312" w:eastAsia="仿宋_GB2312" w:cs="仿宋_GB2312"/>
        </w:rPr>
        <w:t>2026年预算收支安排331.94万元，较2025年预算增加17.26万元，其中：基本支出增加17.26万元，主要为人员工资调整及保险调整基数，预算比上年增加。项目支出增加0.00万元，主要为我部门本年无项目支出。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rPr>
          <w:rFonts w:hint="eastAsia" w:ascii="仿宋_GB2312" w:hAnsi="仿宋_GB2312" w:eastAsia="仿宋_GB2312" w:cs="仿宋_GB2312"/>
        </w:rPr>
      </w:pPr>
      <w:r>
        <w:rPr>
          <w:rFonts w:hint="eastAsia" w:ascii="仿宋_GB2312" w:hAnsi="仿宋_GB2312" w:eastAsia="仿宋_GB2312" w:cs="仿宋_GB2312"/>
        </w:rPr>
        <w:t>2026年，我部门机关运行经费共计安排8.54万元，主要用于日常维修、办公用房水电费、办公用房取暖费、办公用房物业管理费等日常运行支出。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rPr>
          <w:rFonts w:hint="eastAsia" w:ascii="仿宋_GB2312" w:hAnsi="仿宋_GB2312" w:eastAsia="仿宋_GB2312" w:cs="仿宋_GB2312"/>
        </w:rPr>
      </w:pPr>
      <w:r>
        <w:rPr>
          <w:rFonts w:hint="eastAsia" w:ascii="仿宋_GB2312" w:hAnsi="仿宋_GB2312" w:eastAsia="仿宋_GB2312" w:cs="仿宋_GB2312"/>
        </w:rPr>
        <w:t>2026年，我部门财政拨款“三公”经费预算安排0.40万元，其中因公出国（境）费0.00万元；公务用车购置及运维费0.00万元（其中：公务用车购置费为0.00万元，公务用车运维费0.00万元)；公务接待费0.40万元。与2025年相比减少0.10万元，增减变化的主要原因是为落实习惯过紧日子要求，压减公务接待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rPr>
          <w:rFonts w:hint="eastAsia" w:ascii="楷体_GB2312" w:hAnsi="楷体_GB2312" w:eastAsia="楷体_GB2312" w:cs="楷体_GB2312"/>
        </w:rPr>
      </w:pPr>
      <w:r>
        <w:rPr>
          <w:rFonts w:hint="eastAsia" w:ascii="楷体_GB2312" w:hAnsi="楷体_GB2312" w:eastAsia="楷体_GB2312" w:cs="楷体_GB2312"/>
          <w:color w:val="000000"/>
          <w:sz w:val="28"/>
        </w:rPr>
        <w:t>（一）总体绩效目标</w:t>
      </w:r>
    </w:p>
    <w:p>
      <w:pPr>
        <w:pStyle w:val="22"/>
        <w:jc w:val="both"/>
        <w:rPr>
          <w:rFonts w:hint="eastAsia" w:ascii="仿宋_GB2312" w:hAnsi="仿宋_GB2312" w:eastAsia="仿宋_GB2312" w:cs="仿宋_GB2312"/>
        </w:rPr>
      </w:pPr>
      <w:r>
        <w:rPr>
          <w:rFonts w:hint="eastAsia" w:ascii="仿宋_GB2312" w:hAnsi="仿宋_GB2312" w:eastAsia="仿宋_GB2312" w:cs="仿宋_GB2312"/>
        </w:rPr>
        <w:t>以习近平新时代中国特色社会主义思想和习近平文化思想为指导，深入贯彻落实党的二十大精神。习近平总书记强调：“基础设施是经济社会发展的重要支撑，要统筹发展和安全，优化基础设施布局、结构、功能和发展模式，构建现代化基础设施体系，为全面建设社会主义现代化国家打下坚实基础”。在县委县政府的领导下全面、精细、高效的完成工程的项目代建工作，确保工程质量、安全、进度和经济效益。加强对政府投资项目的统一管理，发挥政府投资的最大效益。全程负责政府投资项目的建设与管理，管理项目建设资金，使建设项目资金节约率大于等于1%；项目投资预算控制率小于等于100%。2026年实施建设项目3个，昌黎县文化中心项目于2020年已开工建设,主体工程已基本完工，2022年因资金情况全年停工，2026年继续积极协调有关部门，年底前全面完工；县委党校迁改项目已于2022年10月份进场开展前期施工准备，目前，党校工程接近尾声；2025年新增昌黎县葡萄小镇区域污水收集提升改造工程项目。</w:t>
      </w:r>
    </w:p>
    <w:p>
      <w:pPr>
        <w:spacing w:before="0" w:after="0" w:line="500" w:lineRule="exact"/>
        <w:ind w:firstLine="560"/>
        <w:jc w:val="left"/>
        <w:outlineLvl w:val="9"/>
        <w:rPr>
          <w:rFonts w:hint="eastAsia" w:ascii="楷体_GB2312" w:hAnsi="楷体_GB2312" w:eastAsia="楷体_GB2312" w:cs="楷体_GB2312"/>
        </w:rPr>
      </w:pPr>
      <w:r>
        <w:rPr>
          <w:rFonts w:hint="eastAsia" w:ascii="楷体_GB2312" w:hAnsi="楷体_GB2312" w:eastAsia="楷体_GB2312" w:cs="楷体_GB2312"/>
          <w:color w:val="000000"/>
          <w:sz w:val="28"/>
        </w:rPr>
        <w:t>（二）分项绩效目标</w:t>
      </w:r>
    </w:p>
    <w:p>
      <w:pPr>
        <w:pStyle w:val="23"/>
        <w:rPr>
          <w:rFonts w:hint="eastAsia" w:ascii="仿宋_GB2312" w:hAnsi="仿宋_GB2312" w:eastAsia="仿宋_GB2312" w:cs="仿宋_GB2312"/>
        </w:rPr>
      </w:pPr>
      <w:r>
        <w:rPr>
          <w:rFonts w:hint="eastAsia" w:ascii="仿宋_GB2312" w:hAnsi="仿宋_GB2312" w:eastAsia="仿宋_GB2312" w:cs="仿宋_GB2312"/>
        </w:rPr>
        <w:t>（一）确保项目完成质量</w:t>
      </w:r>
    </w:p>
    <w:p>
      <w:pPr>
        <w:pStyle w:val="23"/>
        <w:rPr>
          <w:rFonts w:hint="eastAsia" w:ascii="仿宋_GB2312" w:hAnsi="仿宋_GB2312" w:eastAsia="仿宋_GB2312" w:cs="仿宋_GB2312"/>
        </w:rPr>
      </w:pPr>
      <w:r>
        <w:rPr>
          <w:rFonts w:hint="eastAsia" w:ascii="仿宋_GB2312" w:hAnsi="仿宋_GB2312" w:eastAsia="仿宋_GB2312" w:cs="仿宋_GB2312"/>
        </w:rPr>
        <w:t>绩效目标：积极完成上级部门下达的各项代建项目。</w:t>
      </w:r>
    </w:p>
    <w:p>
      <w:pPr>
        <w:pStyle w:val="23"/>
        <w:rPr>
          <w:rFonts w:hint="eastAsia" w:ascii="仿宋_GB2312" w:hAnsi="仿宋_GB2312" w:eastAsia="仿宋_GB2312" w:cs="仿宋_GB2312"/>
        </w:rPr>
      </w:pPr>
      <w:r>
        <w:rPr>
          <w:rFonts w:hint="eastAsia" w:ascii="仿宋_GB2312" w:hAnsi="仿宋_GB2312" w:eastAsia="仿宋_GB2312" w:cs="仿宋_GB2312"/>
        </w:rPr>
        <w:t>绩效指标：加强对项目的实施，以确保项目及时的、高质量的完成，代建项目完成数量等于2个。</w:t>
      </w:r>
    </w:p>
    <w:p>
      <w:pPr>
        <w:pStyle w:val="23"/>
        <w:rPr>
          <w:rFonts w:hint="eastAsia" w:ascii="仿宋_GB2312" w:hAnsi="仿宋_GB2312" w:eastAsia="仿宋_GB2312" w:cs="仿宋_GB2312"/>
        </w:rPr>
      </w:pPr>
      <w:r>
        <w:rPr>
          <w:rFonts w:hint="eastAsia" w:ascii="仿宋_GB2312" w:hAnsi="仿宋_GB2312" w:eastAsia="仿宋_GB2312" w:cs="仿宋_GB2312"/>
        </w:rPr>
        <w:t>（二）加强项目投资预算控制</w:t>
      </w:r>
    </w:p>
    <w:p>
      <w:pPr>
        <w:pStyle w:val="23"/>
        <w:rPr>
          <w:rFonts w:hint="eastAsia" w:ascii="仿宋_GB2312" w:hAnsi="仿宋_GB2312" w:eastAsia="仿宋_GB2312" w:cs="仿宋_GB2312"/>
        </w:rPr>
      </w:pPr>
      <w:r>
        <w:rPr>
          <w:rFonts w:hint="eastAsia" w:ascii="仿宋_GB2312" w:hAnsi="仿宋_GB2312" w:eastAsia="仿宋_GB2312" w:cs="仿宋_GB2312"/>
        </w:rPr>
        <w:t>绩效目标：项目预算实施精细化，监控工程的支出和收入。</w:t>
      </w:r>
    </w:p>
    <w:p>
      <w:pPr>
        <w:pStyle w:val="23"/>
        <w:rPr>
          <w:rFonts w:hint="eastAsia" w:ascii="仿宋_GB2312" w:hAnsi="仿宋_GB2312" w:eastAsia="仿宋_GB2312" w:cs="仿宋_GB2312"/>
        </w:rPr>
      </w:pPr>
      <w:r>
        <w:rPr>
          <w:rFonts w:hint="eastAsia" w:ascii="仿宋_GB2312" w:hAnsi="仿宋_GB2312" w:eastAsia="仿宋_GB2312" w:cs="仿宋_GB2312"/>
        </w:rPr>
        <w:t>绩效指标：项目过程中及时进行沟通，避免偏差出现，项目投资预算控制率小于等于100%。</w:t>
      </w:r>
    </w:p>
    <w:p>
      <w:pPr>
        <w:pStyle w:val="23"/>
        <w:rPr>
          <w:rFonts w:hint="eastAsia" w:ascii="仿宋_GB2312" w:hAnsi="仿宋_GB2312" w:eastAsia="仿宋_GB2312" w:cs="仿宋_GB2312"/>
        </w:rPr>
      </w:pPr>
      <w:r>
        <w:rPr>
          <w:rFonts w:hint="eastAsia" w:ascii="仿宋_GB2312" w:hAnsi="仿宋_GB2312" w:eastAsia="仿宋_GB2312" w:cs="仿宋_GB2312"/>
        </w:rPr>
        <w:t>（三）加强项目资金的财务管理</w:t>
      </w:r>
    </w:p>
    <w:p>
      <w:pPr>
        <w:pStyle w:val="23"/>
        <w:rPr>
          <w:rFonts w:hint="eastAsia" w:ascii="仿宋_GB2312" w:hAnsi="仿宋_GB2312" w:eastAsia="仿宋_GB2312" w:cs="仿宋_GB2312"/>
        </w:rPr>
      </w:pPr>
      <w:r>
        <w:rPr>
          <w:rFonts w:hint="eastAsia" w:ascii="仿宋_GB2312" w:hAnsi="仿宋_GB2312" w:eastAsia="仿宋_GB2312" w:cs="仿宋_GB2312"/>
        </w:rPr>
        <w:t>绩效目标：按工程计划，及时申请财政资金，确保工程进度。</w:t>
      </w:r>
    </w:p>
    <w:p>
      <w:pPr>
        <w:pStyle w:val="23"/>
        <w:rPr>
          <w:rFonts w:hint="eastAsia" w:ascii="仿宋_GB2312" w:hAnsi="仿宋_GB2312" w:eastAsia="仿宋_GB2312" w:cs="仿宋_GB2312"/>
        </w:rPr>
      </w:pPr>
      <w:r>
        <w:rPr>
          <w:rFonts w:hint="eastAsia" w:ascii="仿宋_GB2312" w:hAnsi="仿宋_GB2312" w:eastAsia="仿宋_GB2312" w:cs="仿宋_GB2312"/>
        </w:rPr>
        <w:t>绩效指标：及时处理工程费用偏差和节约措施等问题，确保经济效益最大化，建设项目资金节约率大于等于1%。</w:t>
      </w:r>
    </w:p>
    <w:p>
      <w:pPr>
        <w:pStyle w:val="23"/>
        <w:rPr>
          <w:rFonts w:hint="eastAsia" w:ascii="仿宋_GB2312" w:hAnsi="仿宋_GB2312" w:eastAsia="仿宋_GB2312" w:cs="仿宋_GB2312"/>
        </w:rPr>
      </w:pPr>
      <w:r>
        <w:rPr>
          <w:rFonts w:hint="eastAsia" w:ascii="仿宋_GB2312" w:hAnsi="仿宋_GB2312" w:eastAsia="仿宋_GB2312" w:cs="仿宋_GB2312"/>
        </w:rPr>
        <w:t>（四）加强对政府投资项目的统一管理</w:t>
      </w:r>
    </w:p>
    <w:p>
      <w:pPr>
        <w:pStyle w:val="23"/>
        <w:rPr>
          <w:rFonts w:hint="eastAsia" w:ascii="仿宋_GB2312" w:hAnsi="仿宋_GB2312" w:eastAsia="仿宋_GB2312" w:cs="仿宋_GB2312"/>
        </w:rPr>
      </w:pPr>
      <w:r>
        <w:rPr>
          <w:rFonts w:hint="eastAsia" w:ascii="仿宋_GB2312" w:hAnsi="仿宋_GB2312" w:eastAsia="仿宋_GB2312" w:cs="仿宋_GB2312"/>
        </w:rPr>
        <w:t>绩效目标：建立有效的项目管理机制，确保项目的稳定性和及时完成。</w:t>
      </w:r>
    </w:p>
    <w:p>
      <w:pPr>
        <w:pStyle w:val="23"/>
        <w:rPr>
          <w:rFonts w:hint="eastAsia" w:ascii="仿宋_GB2312" w:hAnsi="仿宋_GB2312" w:eastAsia="仿宋_GB2312" w:cs="仿宋_GB2312"/>
        </w:rPr>
      </w:pPr>
      <w:r>
        <w:rPr>
          <w:rFonts w:hint="eastAsia" w:ascii="仿宋_GB2312" w:hAnsi="仿宋_GB2312" w:eastAsia="仿宋_GB2312" w:cs="仿宋_GB2312"/>
        </w:rPr>
        <w:t>绩效指标：加快建设进度，把握项目实施效率，工程按期完成率大于等于100%、工程验收合格率大于等于95%。</w:t>
      </w:r>
    </w:p>
    <w:p>
      <w:pPr>
        <w:spacing w:before="0" w:after="0" w:line="500" w:lineRule="exact"/>
        <w:ind w:firstLine="560"/>
        <w:jc w:val="left"/>
        <w:outlineLvl w:val="9"/>
        <w:rPr>
          <w:rFonts w:hint="eastAsia" w:ascii="楷体_GB2312" w:hAnsi="楷体_GB2312" w:eastAsia="楷体_GB2312" w:cs="楷体_GB2312"/>
        </w:rPr>
      </w:pPr>
      <w:r>
        <w:rPr>
          <w:rFonts w:hint="eastAsia" w:ascii="楷体_GB2312" w:hAnsi="楷体_GB2312" w:eastAsia="楷体_GB2312" w:cs="楷体_GB2312"/>
          <w:color w:val="000000"/>
          <w:sz w:val="28"/>
        </w:rPr>
        <w:t>（三）工作保障措施</w:t>
      </w:r>
    </w:p>
    <w:p>
      <w:pPr>
        <w:pStyle w:val="24"/>
        <w:jc w:val="both"/>
        <w:rPr>
          <w:rFonts w:hint="eastAsia" w:ascii="仿宋_GB2312" w:hAnsi="仿宋_GB2312" w:eastAsia="仿宋_GB2312" w:cs="仿宋_GB2312"/>
        </w:rPr>
      </w:pPr>
      <w:r>
        <w:rPr>
          <w:rFonts w:hint="eastAsia" w:ascii="仿宋_GB2312" w:hAnsi="仿宋_GB2312" w:eastAsia="仿宋_GB2312" w:cs="仿宋_GB2312"/>
        </w:rPr>
        <w:t>（一）代建项目专人负责。中心对每个项目的实施成立项目工程部，确立项目负责人，从项目建设开始到结束全程负责。</w:t>
      </w:r>
    </w:p>
    <w:p>
      <w:pPr>
        <w:pStyle w:val="24"/>
        <w:jc w:val="both"/>
        <w:rPr>
          <w:rFonts w:hint="eastAsia" w:ascii="仿宋_GB2312" w:hAnsi="仿宋_GB2312" w:eastAsia="仿宋_GB2312" w:cs="仿宋_GB2312"/>
        </w:rPr>
      </w:pPr>
      <w:r>
        <w:rPr>
          <w:rFonts w:hint="eastAsia" w:ascii="仿宋_GB2312" w:hAnsi="仿宋_GB2312" w:eastAsia="仿宋_GB2312" w:cs="仿宋_GB2312"/>
        </w:rPr>
        <w:t>（二）完善制度建设。根据昌黎县人民政府印发的《昌黎县人民政府投资项目“代建制”实施办法</w:t>
      </w:r>
      <w:r>
        <w:rPr>
          <w:rFonts w:hint="eastAsia" w:ascii="仿宋_GB2312" w:hAnsi="仿宋_GB2312" w:eastAsia="仿宋_GB2312" w:cs="仿宋_GB2312"/>
          <w:lang w:eastAsia="zh-CN"/>
        </w:rPr>
        <w:t>（</w:t>
      </w:r>
      <w:r>
        <w:rPr>
          <w:rFonts w:hint="eastAsia" w:ascii="仿宋_GB2312" w:hAnsi="仿宋_GB2312" w:eastAsia="仿宋_GB2312" w:cs="仿宋_GB2312"/>
        </w:rPr>
        <w:t>试行</w:t>
      </w:r>
      <w:r>
        <w:rPr>
          <w:rFonts w:hint="eastAsia" w:ascii="仿宋_GB2312" w:hAnsi="仿宋_GB2312" w:eastAsia="仿宋_GB2312" w:cs="仿宋_GB2312"/>
          <w:lang w:eastAsia="zh-CN"/>
        </w:rPr>
        <w:t>）</w:t>
      </w:r>
      <w:r>
        <w:rPr>
          <w:rFonts w:hint="eastAsia" w:ascii="仿宋_GB2312" w:hAnsi="仿宋_GB2312" w:eastAsia="仿宋_GB2312" w:cs="仿宋_GB2312"/>
        </w:rPr>
        <w:t>》，</w:t>
      </w:r>
      <w:bookmarkStart w:id="20" w:name="_GoBack"/>
      <w:bookmarkEnd w:id="20"/>
      <w:r>
        <w:rPr>
          <w:rFonts w:hint="eastAsia" w:ascii="仿宋_GB2312" w:hAnsi="仿宋_GB2312" w:eastAsia="仿宋_GB2312" w:cs="仿宋_GB2312"/>
        </w:rPr>
        <w:t>制定完善预算绩效管理制度、资金管理办法、工作保障制度等内控管理办法，为全年预算绩效目标的实现奠定制度基础。</w:t>
      </w:r>
    </w:p>
    <w:p>
      <w:pPr>
        <w:pStyle w:val="24"/>
        <w:jc w:val="both"/>
        <w:rPr>
          <w:rFonts w:hint="eastAsia" w:ascii="仿宋_GB2312" w:hAnsi="仿宋_GB2312" w:eastAsia="仿宋_GB2312" w:cs="仿宋_GB2312"/>
        </w:rPr>
      </w:pPr>
      <w:r>
        <w:rPr>
          <w:rFonts w:hint="eastAsia" w:ascii="仿宋_GB2312" w:hAnsi="仿宋_GB2312" w:eastAsia="仿宋_GB2312" w:cs="仿宋_GB2312"/>
        </w:rPr>
        <w:t>（三）加强支出管理。对项目资金的申请、支付与管理等方面制定相关规定，优化支出结构，编细编实预算，及时支付资金，确保支出进度达标。</w:t>
      </w:r>
    </w:p>
    <w:p>
      <w:pPr>
        <w:pStyle w:val="24"/>
        <w:jc w:val="both"/>
        <w:rPr>
          <w:rFonts w:hint="eastAsia" w:ascii="仿宋_GB2312" w:hAnsi="仿宋_GB2312" w:eastAsia="仿宋_GB2312" w:cs="仿宋_GB2312"/>
        </w:rPr>
      </w:pPr>
      <w:r>
        <w:rPr>
          <w:rFonts w:hint="eastAsia" w:ascii="仿宋_GB2312" w:hAnsi="仿宋_GB2312" w:eastAsia="仿宋_GB2312" w:cs="仿宋_GB2312"/>
        </w:rPr>
        <w:t>（四）加强绩效运行监控。按要求开展绩效运行监控，发现问题及时采取措施，确保绩效目标如期保质实现。</w:t>
      </w:r>
    </w:p>
    <w:p>
      <w:pPr>
        <w:pStyle w:val="24"/>
        <w:jc w:val="both"/>
        <w:rPr>
          <w:rFonts w:hint="eastAsia" w:ascii="仿宋_GB2312" w:hAnsi="仿宋_GB2312" w:eastAsia="仿宋_GB2312" w:cs="仿宋_GB2312"/>
        </w:rPr>
      </w:pPr>
      <w:r>
        <w:rPr>
          <w:rFonts w:hint="eastAsia" w:ascii="仿宋_GB2312" w:hAnsi="仿宋_GB2312" w:eastAsia="仿宋_GB2312" w:cs="仿宋_GB2312"/>
        </w:rPr>
        <w:t>（五）做好绩效自评。按要求开展上年度部门预算绩效自评和重点评价工作，对评价中发现的问题及时整改，调整优化支出结构，提高财政资金使用效益。</w:t>
      </w:r>
    </w:p>
    <w:p>
      <w:pPr>
        <w:pStyle w:val="24"/>
        <w:jc w:val="both"/>
        <w:rPr>
          <w:rFonts w:hint="eastAsia" w:ascii="仿宋_GB2312" w:hAnsi="仿宋_GB2312" w:eastAsia="仿宋_GB2312" w:cs="仿宋_GB2312"/>
        </w:rPr>
      </w:pPr>
      <w:r>
        <w:rPr>
          <w:rFonts w:hint="eastAsia" w:ascii="仿宋_GB2312" w:hAnsi="仿宋_GB2312" w:eastAsia="仿宋_GB2312" w:cs="仿宋_GB2312"/>
        </w:rPr>
        <w:t>（六）规范财务资产管理。完善财务管理制度，严格审批程序，加强固定资产登记、使用和报废处置管理，做到支出合理，物尽其用。</w:t>
      </w:r>
    </w:p>
    <w:p>
      <w:pPr>
        <w:pStyle w:val="24"/>
        <w:jc w:val="both"/>
        <w:rPr>
          <w:rFonts w:hint="eastAsia" w:ascii="仿宋_GB2312" w:hAnsi="仿宋_GB2312" w:eastAsia="仿宋_GB2312" w:cs="仿宋_GB2312"/>
        </w:rPr>
      </w:pPr>
      <w:r>
        <w:rPr>
          <w:rFonts w:hint="eastAsia" w:ascii="仿宋_GB2312" w:hAnsi="仿宋_GB2312" w:eastAsia="仿宋_GB2312" w:cs="仿宋_GB2312"/>
        </w:rPr>
        <w:t>（七）加强内部监督。加强内部监督制度建设，对绩效运行情况、重大支出决策、资产处置及其他重要事项的决策和执行进行督导，配合做好审计、财政监督等外部监督工作，确保财政资金安全有效。</w:t>
      </w:r>
    </w:p>
    <w:p>
      <w:pPr>
        <w:pStyle w:val="24"/>
        <w:jc w:val="both"/>
        <w:rPr>
          <w:rFonts w:hint="eastAsia" w:ascii="仿宋_GB2312" w:hAnsi="仿宋_GB2312" w:eastAsia="仿宋_GB2312" w:cs="仿宋_GB2312"/>
        </w:rPr>
      </w:pPr>
      <w:r>
        <w:rPr>
          <w:rFonts w:hint="eastAsia" w:ascii="仿宋_GB2312" w:hAnsi="仿宋_GB2312" w:eastAsia="仿宋_GB2312" w:cs="仿宋_GB2312"/>
        </w:rPr>
        <w:t>（八）加强职工业务培训。通过培训，提高职工业务素质，强化预算绩效管理意识，促进预算绩效管理水平进一步提升。</w:t>
      </w:r>
    </w:p>
    <w:p>
      <w:pPr>
        <w:pStyle w:val="24"/>
        <w:jc w:val="both"/>
        <w:rPr>
          <w:rFonts w:hint="eastAsia" w:ascii="仿宋_GB2312" w:hAnsi="仿宋_GB2312" w:eastAsia="仿宋_GB2312" w:cs="仿宋_GB2312"/>
        </w:rPr>
        <w:sectPr>
          <w:pgSz w:w="16840" w:h="11900" w:orient="landscape"/>
          <w:pgMar w:top="1361" w:right="1020" w:bottom="1361" w:left="1020" w:header="720" w:footer="720" w:gutter="0"/>
          <w:cols w:space="720" w:num="1"/>
        </w:sectPr>
      </w:pPr>
      <w:r>
        <w:rPr>
          <w:rFonts w:hint="eastAsia" w:ascii="仿宋_GB2312" w:hAnsi="仿宋_GB2312" w:eastAsia="仿宋_GB2312" w:cs="仿宋_GB2312"/>
        </w:rPr>
        <w:t>坚持厉行节约。坚持厉行节约，反对铺张浪费，科学规范分配财政资金，提高财政资金使用效益，建设节约型机关。</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640" w:firstLineChars="200"/>
        <w:jc w:val="left"/>
        <w:outlineLvl w:val="2"/>
        <w:rPr>
          <w:rFonts w:hint="eastAsia" w:ascii="仿宋_GB2312" w:hAnsi="仿宋_GB2312" w:eastAsia="仿宋_GB2312" w:cs="仿宋_GB2312"/>
          <w:color w:val="000000"/>
          <w:sz w:val="32"/>
          <w:lang w:val="en-US" w:eastAsia="zh-CN"/>
        </w:rPr>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32"/>
          <w:lang w:val="en-US" w:eastAsia="zh-CN"/>
        </w:rPr>
        <w:t>无。</w:t>
      </w:r>
    </w:p>
    <w:p>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5" w:name="_Toc_3_3_0000000016"/>
      <w:r>
        <w:rPr>
          <w:rFonts w:ascii="黑体" w:hAnsi="黑体" w:eastAsia="黑体" w:cs="黑体"/>
          <w:color w:val="000000"/>
          <w:sz w:val="32"/>
        </w:rPr>
        <w:t>部门项目预算安排情况及绩效目标</w:t>
      </w:r>
      <w:bookmarkEnd w:id="15"/>
    </w:p>
    <w:p>
      <w:pPr>
        <w:numPr>
          <w:ilvl w:val="0"/>
          <w:numId w:val="0"/>
        </w:numPr>
        <w:spacing w:before="10" w:after="10" w:line="360" w:lineRule="auto"/>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昌黎县政府投资项目代建中心（含所属单位）上年末固定资产金额为3.02万元（详见下表）。本年度拟购置固定资产总额为0.00万元，已按要求列入政府采购预算，详见政府采购预算表。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438昌黎县政府投资项目代建中心</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9</w:t>
            </w:r>
          </w:p>
        </w:tc>
        <w:tc>
          <w:tcPr>
            <w:tcW w:w="2835" w:type="dxa"/>
            <w:vAlign w:val="center"/>
          </w:tcPr>
          <w:p>
            <w:pPr>
              <w:pStyle w:val="12"/>
            </w:pPr>
            <w:r>
              <w:t>3.02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A26B3"/>
    <w:multiLevelType w:val="singleLevel"/>
    <w:tmpl w:val="986A26B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EF41A9"/>
    <w:rsid w:val="1E1C3E75"/>
    <w:rsid w:val="4FE324F5"/>
    <w:rsid w:val="5CDB5BF9"/>
    <w:rsid w:val="677E693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6747</Words>
  <Characters>7967</Characters>
  <TotalTime>0</TotalTime>
  <ScaleCrop>false</ScaleCrop>
  <LinksUpToDate>false</LinksUpToDate>
  <CharactersWithSpaces>8119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2026-01-30T11:47:00Z</dcterms:created>
  <dc:creator>Administrator</dc:creator>
  <cp:lastModifiedBy>Administrator</cp:lastModifiedBy>
  <dcterms:modified xsi:type="dcterms:W3CDTF">2026-04-24T08:33:36Z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85C79FEA60E1451384EBEDB239951B8F</vt:lpwstr>
  </property>
  <property fmtid="{D5CDD505-2E9C-101B-9397-08002B2CF9AE}" pid="4" name="KSOTemplateDocerSaveRecord">
    <vt:lpwstr>eyJoZGlkIjoiNGJjMzcwYjcyNTg4NzRlOTY5NDYxNTViNjQxNWJjYTUiLCJ1c2VySWQiOiIxMjIwMDAzMjA3In0=</vt:lpwstr>
  </property>
</Properties>
</file>