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290.81</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216.72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290.81</w:t>
            </w:r>
          </w:p>
        </w:tc>
        <w:tc>
          <w:tcPr>
            <w:tcW w:w="4535" w:type="dxa"/>
            <w:vAlign w:val="center"/>
          </w:tcPr>
          <w:p>
            <w:pPr>
              <w:pStyle w:val="15"/>
            </w:pPr>
            <w:r>
              <w:t>本年支出合计</w:t>
            </w:r>
          </w:p>
        </w:tc>
        <w:tc>
          <w:tcPr>
            <w:tcW w:w="2126" w:type="dxa"/>
            <w:vAlign w:val="center"/>
          </w:tcPr>
          <w:p>
            <w:pPr>
              <w:pStyle w:val="16"/>
            </w:pPr>
            <w:r>
              <w:t>290.81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290.81</w:t>
            </w:r>
          </w:p>
        </w:tc>
        <w:tc>
          <w:tcPr>
            <w:tcW w:w="4535" w:type="dxa"/>
            <w:vAlign w:val="center"/>
          </w:tcPr>
          <w:p>
            <w:pPr>
              <w:pStyle w:val="15"/>
            </w:pPr>
            <w:r>
              <w:t>支出总计</w:t>
            </w:r>
          </w:p>
        </w:tc>
        <w:tc>
          <w:tcPr>
            <w:tcW w:w="2126" w:type="dxa"/>
            <w:vAlign w:val="center"/>
          </w:tcPr>
          <w:p>
            <w:pPr>
              <w:pStyle w:val="16"/>
            </w:pPr>
            <w:r>
              <w:t>290.81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290.81</w:t>
            </w:r>
          </w:p>
        </w:tc>
        <w:tc>
          <w:tcPr>
            <w:tcW w:w="1134" w:type="dxa"/>
            <w:vAlign w:val="center"/>
          </w:tcPr>
          <w:p>
            <w:pPr>
              <w:pStyle w:val="16"/>
            </w:pPr>
            <w:r>
              <w:t>290.81</w:t>
            </w:r>
          </w:p>
        </w:tc>
        <w:tc>
          <w:tcPr>
            <w:tcW w:w="1134" w:type="dxa"/>
            <w:vAlign w:val="center"/>
          </w:tcPr>
          <w:p>
            <w:pPr>
              <w:pStyle w:val="16"/>
            </w:pPr>
            <w:r>
              <w:t>290.81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41.11</w:t>
            </w:r>
          </w:p>
        </w:tc>
        <w:tc>
          <w:tcPr>
            <w:tcW w:w="1134" w:type="dxa"/>
            <w:vAlign w:val="center"/>
          </w:tcPr>
          <w:p>
            <w:pPr>
              <w:pStyle w:val="12"/>
            </w:pPr>
            <w:r>
              <w:t>41.11</w:t>
            </w:r>
          </w:p>
        </w:tc>
        <w:tc>
          <w:tcPr>
            <w:tcW w:w="1134" w:type="dxa"/>
            <w:vAlign w:val="center"/>
          </w:tcPr>
          <w:p>
            <w:pPr>
              <w:pStyle w:val="12"/>
            </w:pPr>
            <w:r>
              <w:t>41.11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41.11</w:t>
            </w:r>
          </w:p>
        </w:tc>
        <w:tc>
          <w:tcPr>
            <w:tcW w:w="1134" w:type="dxa"/>
            <w:vAlign w:val="center"/>
          </w:tcPr>
          <w:p>
            <w:pPr>
              <w:pStyle w:val="12"/>
            </w:pPr>
            <w:r>
              <w:t>41.11</w:t>
            </w:r>
          </w:p>
        </w:tc>
        <w:tc>
          <w:tcPr>
            <w:tcW w:w="1134" w:type="dxa"/>
            <w:vAlign w:val="center"/>
          </w:tcPr>
          <w:p>
            <w:pPr>
              <w:pStyle w:val="12"/>
            </w:pPr>
            <w:r>
              <w:t>41.11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29.10</w:t>
            </w:r>
          </w:p>
        </w:tc>
        <w:tc>
          <w:tcPr>
            <w:tcW w:w="1134" w:type="dxa"/>
            <w:vAlign w:val="center"/>
          </w:tcPr>
          <w:p>
            <w:pPr>
              <w:pStyle w:val="12"/>
            </w:pPr>
            <w:r>
              <w:t>29.10</w:t>
            </w:r>
          </w:p>
        </w:tc>
        <w:tc>
          <w:tcPr>
            <w:tcW w:w="1134" w:type="dxa"/>
            <w:vAlign w:val="center"/>
          </w:tcPr>
          <w:p>
            <w:pPr>
              <w:pStyle w:val="12"/>
            </w:pPr>
            <w:r>
              <w:t>29.10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12.01</w:t>
            </w:r>
          </w:p>
        </w:tc>
        <w:tc>
          <w:tcPr>
            <w:tcW w:w="1134" w:type="dxa"/>
            <w:vAlign w:val="center"/>
          </w:tcPr>
          <w:p>
            <w:pPr>
              <w:pStyle w:val="12"/>
            </w:pPr>
            <w:r>
              <w:t>12.01</w:t>
            </w:r>
          </w:p>
        </w:tc>
        <w:tc>
          <w:tcPr>
            <w:tcW w:w="1134" w:type="dxa"/>
            <w:vAlign w:val="center"/>
          </w:tcPr>
          <w:p>
            <w:pPr>
              <w:pStyle w:val="12"/>
            </w:pPr>
            <w:r>
              <w:t>12.01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18.42</w:t>
            </w:r>
          </w:p>
        </w:tc>
        <w:tc>
          <w:tcPr>
            <w:tcW w:w="1134" w:type="dxa"/>
            <w:vAlign w:val="center"/>
          </w:tcPr>
          <w:p>
            <w:pPr>
              <w:pStyle w:val="12"/>
            </w:pPr>
            <w:r>
              <w:t>18.42</w:t>
            </w:r>
          </w:p>
        </w:tc>
        <w:tc>
          <w:tcPr>
            <w:tcW w:w="1134" w:type="dxa"/>
            <w:vAlign w:val="center"/>
          </w:tcPr>
          <w:p>
            <w:pPr>
              <w:pStyle w:val="12"/>
            </w:pPr>
            <w:r>
              <w:t>18.42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18.42</w:t>
            </w:r>
          </w:p>
        </w:tc>
        <w:tc>
          <w:tcPr>
            <w:tcW w:w="1134" w:type="dxa"/>
            <w:vAlign w:val="center"/>
          </w:tcPr>
          <w:p>
            <w:pPr>
              <w:pStyle w:val="12"/>
            </w:pPr>
            <w:r>
              <w:t>18.42</w:t>
            </w:r>
          </w:p>
        </w:tc>
        <w:tc>
          <w:tcPr>
            <w:tcW w:w="1134" w:type="dxa"/>
            <w:vAlign w:val="center"/>
          </w:tcPr>
          <w:p>
            <w:pPr>
              <w:pStyle w:val="12"/>
            </w:pPr>
            <w:r>
              <w:t>18.42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18.42</w:t>
            </w:r>
          </w:p>
        </w:tc>
        <w:tc>
          <w:tcPr>
            <w:tcW w:w="1134" w:type="dxa"/>
            <w:vAlign w:val="center"/>
          </w:tcPr>
          <w:p>
            <w:pPr>
              <w:pStyle w:val="12"/>
            </w:pPr>
            <w:r>
              <w:t>18.42</w:t>
            </w:r>
          </w:p>
        </w:tc>
        <w:tc>
          <w:tcPr>
            <w:tcW w:w="1134" w:type="dxa"/>
            <w:vAlign w:val="center"/>
          </w:tcPr>
          <w:p>
            <w:pPr>
              <w:pStyle w:val="12"/>
            </w:pPr>
            <w:r>
              <w:t>18.42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216.72</w:t>
            </w:r>
          </w:p>
        </w:tc>
        <w:tc>
          <w:tcPr>
            <w:tcW w:w="1134" w:type="dxa"/>
            <w:vAlign w:val="center"/>
          </w:tcPr>
          <w:p>
            <w:pPr>
              <w:pStyle w:val="12"/>
            </w:pPr>
            <w:r>
              <w:t>216.72</w:t>
            </w:r>
          </w:p>
        </w:tc>
        <w:tc>
          <w:tcPr>
            <w:tcW w:w="1134" w:type="dxa"/>
            <w:vAlign w:val="center"/>
          </w:tcPr>
          <w:p>
            <w:pPr>
              <w:pStyle w:val="12"/>
            </w:pPr>
            <w:r>
              <w:t>216.72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21203</w:t>
            </w:r>
          </w:p>
        </w:tc>
        <w:tc>
          <w:tcPr>
            <w:tcW w:w="1559" w:type="dxa"/>
            <w:vAlign w:val="center"/>
          </w:tcPr>
          <w:p>
            <w:pPr>
              <w:pStyle w:val="13"/>
            </w:pPr>
            <w:r>
              <w:t>城乡社区公共设施</w:t>
            </w:r>
          </w:p>
        </w:tc>
        <w:tc>
          <w:tcPr>
            <w:tcW w:w="1134" w:type="dxa"/>
            <w:vAlign w:val="center"/>
          </w:tcPr>
          <w:p>
            <w:pPr>
              <w:pStyle w:val="12"/>
            </w:pPr>
            <w:r>
              <w:t>216.72</w:t>
            </w:r>
          </w:p>
        </w:tc>
        <w:tc>
          <w:tcPr>
            <w:tcW w:w="1134" w:type="dxa"/>
            <w:vAlign w:val="center"/>
          </w:tcPr>
          <w:p>
            <w:pPr>
              <w:pStyle w:val="12"/>
            </w:pPr>
            <w:r>
              <w:t>216.72</w:t>
            </w:r>
          </w:p>
        </w:tc>
        <w:tc>
          <w:tcPr>
            <w:tcW w:w="1134" w:type="dxa"/>
            <w:vAlign w:val="center"/>
          </w:tcPr>
          <w:p>
            <w:pPr>
              <w:pStyle w:val="12"/>
            </w:pPr>
            <w:r>
              <w:t>216.72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2120399</w:t>
            </w:r>
          </w:p>
        </w:tc>
        <w:tc>
          <w:tcPr>
            <w:tcW w:w="1559" w:type="dxa"/>
            <w:vAlign w:val="center"/>
          </w:tcPr>
          <w:p>
            <w:pPr>
              <w:pStyle w:val="13"/>
            </w:pPr>
            <w:r>
              <w:t>其他城乡社区公共设施支出</w:t>
            </w:r>
          </w:p>
        </w:tc>
        <w:tc>
          <w:tcPr>
            <w:tcW w:w="1134" w:type="dxa"/>
            <w:vAlign w:val="center"/>
          </w:tcPr>
          <w:p>
            <w:pPr>
              <w:pStyle w:val="12"/>
            </w:pPr>
            <w:r>
              <w:t>216.72</w:t>
            </w:r>
          </w:p>
        </w:tc>
        <w:tc>
          <w:tcPr>
            <w:tcW w:w="1134" w:type="dxa"/>
            <w:vAlign w:val="center"/>
          </w:tcPr>
          <w:p>
            <w:pPr>
              <w:pStyle w:val="12"/>
            </w:pPr>
            <w:r>
              <w:t>216.72</w:t>
            </w:r>
          </w:p>
        </w:tc>
        <w:tc>
          <w:tcPr>
            <w:tcW w:w="1134" w:type="dxa"/>
            <w:vAlign w:val="center"/>
          </w:tcPr>
          <w:p>
            <w:pPr>
              <w:pStyle w:val="12"/>
            </w:pPr>
            <w:r>
              <w:t>216.72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14.55</w:t>
            </w:r>
          </w:p>
        </w:tc>
        <w:tc>
          <w:tcPr>
            <w:tcW w:w="1134" w:type="dxa"/>
            <w:vAlign w:val="center"/>
          </w:tcPr>
          <w:p>
            <w:pPr>
              <w:pStyle w:val="12"/>
            </w:pPr>
            <w:r>
              <w:t>14.55</w:t>
            </w:r>
          </w:p>
        </w:tc>
        <w:tc>
          <w:tcPr>
            <w:tcW w:w="1134" w:type="dxa"/>
            <w:vAlign w:val="center"/>
          </w:tcPr>
          <w:p>
            <w:pPr>
              <w:pStyle w:val="12"/>
            </w:pPr>
            <w:r>
              <w:t>14.55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14.55</w:t>
            </w:r>
          </w:p>
        </w:tc>
        <w:tc>
          <w:tcPr>
            <w:tcW w:w="1134" w:type="dxa"/>
            <w:vAlign w:val="center"/>
          </w:tcPr>
          <w:p>
            <w:pPr>
              <w:pStyle w:val="12"/>
            </w:pPr>
            <w:r>
              <w:t>14.55</w:t>
            </w:r>
          </w:p>
        </w:tc>
        <w:tc>
          <w:tcPr>
            <w:tcW w:w="1134" w:type="dxa"/>
            <w:vAlign w:val="center"/>
          </w:tcPr>
          <w:p>
            <w:pPr>
              <w:pStyle w:val="12"/>
            </w:pPr>
            <w:r>
              <w:t>14.55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14.55</w:t>
            </w:r>
          </w:p>
        </w:tc>
        <w:tc>
          <w:tcPr>
            <w:tcW w:w="1134" w:type="dxa"/>
            <w:vAlign w:val="center"/>
          </w:tcPr>
          <w:p>
            <w:pPr>
              <w:pStyle w:val="12"/>
            </w:pPr>
            <w:r>
              <w:t>14.55</w:t>
            </w:r>
          </w:p>
        </w:tc>
        <w:tc>
          <w:tcPr>
            <w:tcW w:w="1134" w:type="dxa"/>
            <w:vAlign w:val="center"/>
          </w:tcPr>
          <w:p>
            <w:pPr>
              <w:pStyle w:val="12"/>
            </w:pPr>
            <w:r>
              <w:t>14.55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290.81</w:t>
            </w:r>
          </w:p>
        </w:tc>
        <w:tc>
          <w:tcPr>
            <w:tcW w:w="1361" w:type="dxa"/>
            <w:vAlign w:val="center"/>
          </w:tcPr>
          <w:p>
            <w:pPr>
              <w:pStyle w:val="16"/>
            </w:pPr>
            <w:r>
              <w:t>290.81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41.11</w:t>
            </w:r>
          </w:p>
        </w:tc>
        <w:tc>
          <w:tcPr>
            <w:tcW w:w="1361" w:type="dxa"/>
            <w:vAlign w:val="center"/>
          </w:tcPr>
          <w:p>
            <w:pPr>
              <w:pStyle w:val="12"/>
            </w:pPr>
            <w:r>
              <w:t>41.11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41.11</w:t>
            </w:r>
          </w:p>
        </w:tc>
        <w:tc>
          <w:tcPr>
            <w:tcW w:w="1361" w:type="dxa"/>
            <w:vAlign w:val="center"/>
          </w:tcPr>
          <w:p>
            <w:pPr>
              <w:pStyle w:val="12"/>
            </w:pPr>
            <w:r>
              <w:t>41.11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29.10</w:t>
            </w:r>
          </w:p>
        </w:tc>
        <w:tc>
          <w:tcPr>
            <w:tcW w:w="1361" w:type="dxa"/>
            <w:vAlign w:val="center"/>
          </w:tcPr>
          <w:p>
            <w:pPr>
              <w:pStyle w:val="12"/>
            </w:pPr>
            <w:r>
              <w:t>29.10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12.01</w:t>
            </w:r>
          </w:p>
        </w:tc>
        <w:tc>
          <w:tcPr>
            <w:tcW w:w="1361" w:type="dxa"/>
            <w:vAlign w:val="center"/>
          </w:tcPr>
          <w:p>
            <w:pPr>
              <w:pStyle w:val="12"/>
            </w:pPr>
            <w:r>
              <w:t>12.01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18.42</w:t>
            </w:r>
          </w:p>
        </w:tc>
        <w:tc>
          <w:tcPr>
            <w:tcW w:w="1361" w:type="dxa"/>
            <w:vAlign w:val="center"/>
          </w:tcPr>
          <w:p>
            <w:pPr>
              <w:pStyle w:val="12"/>
            </w:pPr>
            <w:r>
              <w:t>18.42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18.42</w:t>
            </w:r>
          </w:p>
        </w:tc>
        <w:tc>
          <w:tcPr>
            <w:tcW w:w="1361" w:type="dxa"/>
            <w:vAlign w:val="center"/>
          </w:tcPr>
          <w:p>
            <w:pPr>
              <w:pStyle w:val="12"/>
            </w:pPr>
            <w:r>
              <w:t>18.42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18.42</w:t>
            </w:r>
          </w:p>
        </w:tc>
        <w:tc>
          <w:tcPr>
            <w:tcW w:w="1361" w:type="dxa"/>
            <w:vAlign w:val="center"/>
          </w:tcPr>
          <w:p>
            <w:pPr>
              <w:pStyle w:val="12"/>
            </w:pPr>
            <w:r>
              <w:t>18.42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216.72</w:t>
            </w:r>
          </w:p>
        </w:tc>
        <w:tc>
          <w:tcPr>
            <w:tcW w:w="1361" w:type="dxa"/>
            <w:vAlign w:val="center"/>
          </w:tcPr>
          <w:p>
            <w:pPr>
              <w:pStyle w:val="12"/>
            </w:pPr>
            <w:r>
              <w:t>216.72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21203</w:t>
            </w:r>
          </w:p>
        </w:tc>
        <w:tc>
          <w:tcPr>
            <w:tcW w:w="4535" w:type="dxa"/>
            <w:vAlign w:val="center"/>
          </w:tcPr>
          <w:p>
            <w:pPr>
              <w:pStyle w:val="13"/>
            </w:pPr>
            <w:r>
              <w:t>城乡社区公共设施</w:t>
            </w:r>
          </w:p>
        </w:tc>
        <w:tc>
          <w:tcPr>
            <w:tcW w:w="1361" w:type="dxa"/>
            <w:vAlign w:val="center"/>
          </w:tcPr>
          <w:p>
            <w:pPr>
              <w:pStyle w:val="12"/>
            </w:pPr>
            <w:r>
              <w:t>216.72</w:t>
            </w:r>
          </w:p>
        </w:tc>
        <w:tc>
          <w:tcPr>
            <w:tcW w:w="1361" w:type="dxa"/>
            <w:vAlign w:val="center"/>
          </w:tcPr>
          <w:p>
            <w:pPr>
              <w:pStyle w:val="12"/>
            </w:pPr>
            <w:r>
              <w:t>216.72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2120399</w:t>
            </w:r>
          </w:p>
        </w:tc>
        <w:tc>
          <w:tcPr>
            <w:tcW w:w="4535" w:type="dxa"/>
            <w:vAlign w:val="center"/>
          </w:tcPr>
          <w:p>
            <w:pPr>
              <w:pStyle w:val="13"/>
            </w:pPr>
            <w:r>
              <w:t>其他城乡社区公共设施支出</w:t>
            </w:r>
          </w:p>
        </w:tc>
        <w:tc>
          <w:tcPr>
            <w:tcW w:w="1361" w:type="dxa"/>
            <w:vAlign w:val="center"/>
          </w:tcPr>
          <w:p>
            <w:pPr>
              <w:pStyle w:val="12"/>
            </w:pPr>
            <w:r>
              <w:t>216.72</w:t>
            </w:r>
          </w:p>
        </w:tc>
        <w:tc>
          <w:tcPr>
            <w:tcW w:w="1361" w:type="dxa"/>
            <w:vAlign w:val="center"/>
          </w:tcPr>
          <w:p>
            <w:pPr>
              <w:pStyle w:val="12"/>
            </w:pPr>
            <w:r>
              <w:t>216.72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14.55</w:t>
            </w:r>
          </w:p>
        </w:tc>
        <w:tc>
          <w:tcPr>
            <w:tcW w:w="1361" w:type="dxa"/>
            <w:vAlign w:val="center"/>
          </w:tcPr>
          <w:p>
            <w:pPr>
              <w:pStyle w:val="12"/>
            </w:pPr>
            <w:r>
              <w:t>14.55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14.55</w:t>
            </w:r>
          </w:p>
        </w:tc>
        <w:tc>
          <w:tcPr>
            <w:tcW w:w="1361" w:type="dxa"/>
            <w:vAlign w:val="center"/>
          </w:tcPr>
          <w:p>
            <w:pPr>
              <w:pStyle w:val="12"/>
            </w:pPr>
            <w:r>
              <w:t>14.55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14.55</w:t>
            </w:r>
          </w:p>
        </w:tc>
        <w:tc>
          <w:tcPr>
            <w:tcW w:w="1361" w:type="dxa"/>
            <w:vAlign w:val="center"/>
          </w:tcPr>
          <w:p>
            <w:pPr>
              <w:pStyle w:val="12"/>
            </w:pPr>
            <w:r>
              <w:t>14.55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290.81</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41.11</w:t>
            </w:r>
          </w:p>
        </w:tc>
        <w:tc>
          <w:tcPr>
            <w:tcW w:w="1474" w:type="dxa"/>
            <w:vAlign w:val="center"/>
          </w:tcPr>
          <w:p>
            <w:pPr>
              <w:pStyle w:val="12"/>
            </w:pPr>
            <w:r>
              <w:t>41.11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18.42</w:t>
            </w:r>
          </w:p>
        </w:tc>
        <w:tc>
          <w:tcPr>
            <w:tcW w:w="1474" w:type="dxa"/>
            <w:vAlign w:val="center"/>
          </w:tcPr>
          <w:p>
            <w:pPr>
              <w:pStyle w:val="12"/>
            </w:pPr>
            <w:r>
              <w:t>18.42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216.72</w:t>
            </w:r>
          </w:p>
        </w:tc>
        <w:tc>
          <w:tcPr>
            <w:tcW w:w="1474" w:type="dxa"/>
            <w:vAlign w:val="center"/>
          </w:tcPr>
          <w:p>
            <w:pPr>
              <w:pStyle w:val="12"/>
            </w:pPr>
            <w:r>
              <w:t>216.72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14.55</w:t>
            </w:r>
          </w:p>
        </w:tc>
        <w:tc>
          <w:tcPr>
            <w:tcW w:w="1474" w:type="dxa"/>
            <w:vAlign w:val="center"/>
          </w:tcPr>
          <w:p>
            <w:pPr>
              <w:pStyle w:val="12"/>
            </w:pPr>
            <w:r>
              <w:t>14.55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290.81</w:t>
            </w:r>
          </w:p>
        </w:tc>
        <w:tc>
          <w:tcPr>
            <w:tcW w:w="3402" w:type="dxa"/>
            <w:vAlign w:val="center"/>
          </w:tcPr>
          <w:p>
            <w:pPr>
              <w:pStyle w:val="15"/>
            </w:pPr>
            <w:r>
              <w:t>本年支出合计</w:t>
            </w:r>
          </w:p>
        </w:tc>
        <w:tc>
          <w:tcPr>
            <w:tcW w:w="1474" w:type="dxa"/>
            <w:vAlign w:val="center"/>
          </w:tcPr>
          <w:p>
            <w:pPr>
              <w:pStyle w:val="16"/>
            </w:pPr>
            <w:r>
              <w:t>290.81</w:t>
            </w:r>
          </w:p>
        </w:tc>
        <w:tc>
          <w:tcPr>
            <w:tcW w:w="1474" w:type="dxa"/>
            <w:vAlign w:val="center"/>
          </w:tcPr>
          <w:p>
            <w:pPr>
              <w:pStyle w:val="16"/>
            </w:pPr>
            <w:r>
              <w:t>290.81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290.81</w:t>
            </w:r>
          </w:p>
        </w:tc>
        <w:tc>
          <w:tcPr>
            <w:tcW w:w="3402" w:type="dxa"/>
            <w:vAlign w:val="center"/>
          </w:tcPr>
          <w:p>
            <w:pPr>
              <w:pStyle w:val="15"/>
            </w:pPr>
            <w:r>
              <w:t>支出总计</w:t>
            </w:r>
          </w:p>
        </w:tc>
        <w:tc>
          <w:tcPr>
            <w:tcW w:w="1474" w:type="dxa"/>
            <w:vAlign w:val="center"/>
          </w:tcPr>
          <w:p>
            <w:pPr>
              <w:pStyle w:val="16"/>
            </w:pPr>
            <w:r>
              <w:t>290.81</w:t>
            </w:r>
          </w:p>
        </w:tc>
        <w:tc>
          <w:tcPr>
            <w:tcW w:w="1474" w:type="dxa"/>
            <w:vAlign w:val="center"/>
          </w:tcPr>
          <w:p>
            <w:pPr>
              <w:pStyle w:val="16"/>
            </w:pPr>
            <w:r>
              <w:t>290.81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290.81</w:t>
            </w:r>
          </w:p>
        </w:tc>
        <w:tc>
          <w:tcPr>
            <w:tcW w:w="2551" w:type="dxa"/>
            <w:vAlign w:val="center"/>
          </w:tcPr>
          <w:p>
            <w:pPr>
              <w:pStyle w:val="16"/>
            </w:pPr>
            <w:r>
              <w:t>290.81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41.11</w:t>
            </w:r>
          </w:p>
        </w:tc>
        <w:tc>
          <w:tcPr>
            <w:tcW w:w="2551" w:type="dxa"/>
            <w:vAlign w:val="center"/>
          </w:tcPr>
          <w:p>
            <w:pPr>
              <w:pStyle w:val="12"/>
            </w:pPr>
            <w:r>
              <w:t>41.11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41.11</w:t>
            </w:r>
          </w:p>
        </w:tc>
        <w:tc>
          <w:tcPr>
            <w:tcW w:w="2551" w:type="dxa"/>
            <w:vAlign w:val="center"/>
          </w:tcPr>
          <w:p>
            <w:pPr>
              <w:pStyle w:val="12"/>
            </w:pPr>
            <w:r>
              <w:t>41.11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29.10</w:t>
            </w:r>
          </w:p>
        </w:tc>
        <w:tc>
          <w:tcPr>
            <w:tcW w:w="2551" w:type="dxa"/>
            <w:vAlign w:val="center"/>
          </w:tcPr>
          <w:p>
            <w:pPr>
              <w:pStyle w:val="12"/>
            </w:pPr>
            <w:r>
              <w:t>29.10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12.01</w:t>
            </w:r>
          </w:p>
        </w:tc>
        <w:tc>
          <w:tcPr>
            <w:tcW w:w="2551" w:type="dxa"/>
            <w:vAlign w:val="center"/>
          </w:tcPr>
          <w:p>
            <w:pPr>
              <w:pStyle w:val="12"/>
            </w:pPr>
            <w:r>
              <w:t>12.01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18.42</w:t>
            </w:r>
          </w:p>
        </w:tc>
        <w:tc>
          <w:tcPr>
            <w:tcW w:w="2551" w:type="dxa"/>
            <w:vAlign w:val="center"/>
          </w:tcPr>
          <w:p>
            <w:pPr>
              <w:pStyle w:val="12"/>
            </w:pPr>
            <w:r>
              <w:t>18.42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18.42</w:t>
            </w:r>
          </w:p>
        </w:tc>
        <w:tc>
          <w:tcPr>
            <w:tcW w:w="2551" w:type="dxa"/>
            <w:vAlign w:val="center"/>
          </w:tcPr>
          <w:p>
            <w:pPr>
              <w:pStyle w:val="12"/>
            </w:pPr>
            <w:r>
              <w:t>18.42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18.42</w:t>
            </w:r>
          </w:p>
        </w:tc>
        <w:tc>
          <w:tcPr>
            <w:tcW w:w="2551" w:type="dxa"/>
            <w:vAlign w:val="center"/>
          </w:tcPr>
          <w:p>
            <w:pPr>
              <w:pStyle w:val="12"/>
            </w:pPr>
            <w:r>
              <w:t>18.42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216.72</w:t>
            </w:r>
          </w:p>
        </w:tc>
        <w:tc>
          <w:tcPr>
            <w:tcW w:w="2551" w:type="dxa"/>
            <w:vAlign w:val="center"/>
          </w:tcPr>
          <w:p>
            <w:pPr>
              <w:pStyle w:val="12"/>
            </w:pPr>
            <w:r>
              <w:t>216.72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21203</w:t>
            </w:r>
          </w:p>
        </w:tc>
        <w:tc>
          <w:tcPr>
            <w:tcW w:w="4535" w:type="dxa"/>
            <w:vAlign w:val="center"/>
          </w:tcPr>
          <w:p>
            <w:pPr>
              <w:pStyle w:val="13"/>
            </w:pPr>
            <w:r>
              <w:t>城乡社区公共设施</w:t>
            </w:r>
          </w:p>
        </w:tc>
        <w:tc>
          <w:tcPr>
            <w:tcW w:w="2551" w:type="dxa"/>
            <w:vAlign w:val="center"/>
          </w:tcPr>
          <w:p>
            <w:pPr>
              <w:pStyle w:val="12"/>
            </w:pPr>
            <w:r>
              <w:t>216.72</w:t>
            </w:r>
          </w:p>
        </w:tc>
        <w:tc>
          <w:tcPr>
            <w:tcW w:w="2551" w:type="dxa"/>
            <w:vAlign w:val="center"/>
          </w:tcPr>
          <w:p>
            <w:pPr>
              <w:pStyle w:val="12"/>
            </w:pPr>
            <w:r>
              <w:t>216.72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2120399</w:t>
            </w:r>
          </w:p>
        </w:tc>
        <w:tc>
          <w:tcPr>
            <w:tcW w:w="4535" w:type="dxa"/>
            <w:vAlign w:val="center"/>
          </w:tcPr>
          <w:p>
            <w:pPr>
              <w:pStyle w:val="13"/>
            </w:pPr>
            <w:r>
              <w:t>其他城乡社区公共设施支出</w:t>
            </w:r>
          </w:p>
        </w:tc>
        <w:tc>
          <w:tcPr>
            <w:tcW w:w="2551" w:type="dxa"/>
            <w:vAlign w:val="center"/>
          </w:tcPr>
          <w:p>
            <w:pPr>
              <w:pStyle w:val="12"/>
            </w:pPr>
            <w:r>
              <w:t>216.72</w:t>
            </w:r>
          </w:p>
        </w:tc>
        <w:tc>
          <w:tcPr>
            <w:tcW w:w="2551" w:type="dxa"/>
            <w:vAlign w:val="center"/>
          </w:tcPr>
          <w:p>
            <w:pPr>
              <w:pStyle w:val="12"/>
            </w:pPr>
            <w:r>
              <w:t>216.72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14.55</w:t>
            </w:r>
          </w:p>
        </w:tc>
        <w:tc>
          <w:tcPr>
            <w:tcW w:w="2551" w:type="dxa"/>
            <w:vAlign w:val="center"/>
          </w:tcPr>
          <w:p>
            <w:pPr>
              <w:pStyle w:val="12"/>
            </w:pPr>
            <w:r>
              <w:t>14.55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14.55</w:t>
            </w:r>
          </w:p>
        </w:tc>
        <w:tc>
          <w:tcPr>
            <w:tcW w:w="2551" w:type="dxa"/>
            <w:vAlign w:val="center"/>
          </w:tcPr>
          <w:p>
            <w:pPr>
              <w:pStyle w:val="12"/>
            </w:pPr>
            <w:r>
              <w:t>14.55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14.55</w:t>
            </w:r>
          </w:p>
        </w:tc>
        <w:tc>
          <w:tcPr>
            <w:tcW w:w="2551" w:type="dxa"/>
            <w:vAlign w:val="center"/>
          </w:tcPr>
          <w:p>
            <w:pPr>
              <w:pStyle w:val="12"/>
            </w:pPr>
            <w:r>
              <w:t>14.55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290.81</w:t>
            </w:r>
          </w:p>
        </w:tc>
        <w:tc>
          <w:tcPr>
            <w:tcW w:w="2551" w:type="dxa"/>
            <w:vAlign w:val="center"/>
          </w:tcPr>
          <w:p>
            <w:pPr>
              <w:pStyle w:val="16"/>
            </w:pPr>
            <w:r>
              <w:t>281.95</w:t>
            </w:r>
          </w:p>
        </w:tc>
        <w:tc>
          <w:tcPr>
            <w:tcW w:w="2551" w:type="dxa"/>
            <w:vAlign w:val="center"/>
          </w:tcPr>
          <w:p>
            <w:pPr>
              <w:pStyle w:val="16"/>
            </w:pPr>
            <w:r>
              <w:t>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281.95</w:t>
            </w:r>
          </w:p>
        </w:tc>
        <w:tc>
          <w:tcPr>
            <w:tcW w:w="2551" w:type="dxa"/>
            <w:vAlign w:val="center"/>
          </w:tcPr>
          <w:p>
            <w:pPr>
              <w:pStyle w:val="12"/>
            </w:pPr>
            <w:r>
              <w:t>281.95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117.31</w:t>
            </w:r>
          </w:p>
        </w:tc>
        <w:tc>
          <w:tcPr>
            <w:tcW w:w="2551" w:type="dxa"/>
            <w:vAlign w:val="center"/>
          </w:tcPr>
          <w:p>
            <w:pPr>
              <w:pStyle w:val="12"/>
            </w:pPr>
            <w:r>
              <w:t>117.31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13.78</w:t>
            </w:r>
          </w:p>
        </w:tc>
        <w:tc>
          <w:tcPr>
            <w:tcW w:w="2551" w:type="dxa"/>
            <w:vAlign w:val="center"/>
          </w:tcPr>
          <w:p>
            <w:pPr>
              <w:pStyle w:val="12"/>
            </w:pPr>
            <w:r>
              <w:t>13.78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71.87</w:t>
            </w:r>
          </w:p>
        </w:tc>
        <w:tc>
          <w:tcPr>
            <w:tcW w:w="2551" w:type="dxa"/>
            <w:vAlign w:val="center"/>
          </w:tcPr>
          <w:p>
            <w:pPr>
              <w:pStyle w:val="12"/>
            </w:pPr>
            <w:r>
              <w:t>71.87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29.10</w:t>
            </w:r>
          </w:p>
        </w:tc>
        <w:tc>
          <w:tcPr>
            <w:tcW w:w="2551" w:type="dxa"/>
            <w:vAlign w:val="center"/>
          </w:tcPr>
          <w:p>
            <w:pPr>
              <w:pStyle w:val="12"/>
            </w:pPr>
            <w:r>
              <w:t>29.10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12.01</w:t>
            </w:r>
          </w:p>
        </w:tc>
        <w:tc>
          <w:tcPr>
            <w:tcW w:w="2551" w:type="dxa"/>
            <w:vAlign w:val="center"/>
          </w:tcPr>
          <w:p>
            <w:pPr>
              <w:pStyle w:val="12"/>
            </w:pPr>
            <w:r>
              <w:t>12.01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18.03</w:t>
            </w:r>
          </w:p>
        </w:tc>
        <w:tc>
          <w:tcPr>
            <w:tcW w:w="2551" w:type="dxa"/>
            <w:vAlign w:val="center"/>
          </w:tcPr>
          <w:p>
            <w:pPr>
              <w:pStyle w:val="12"/>
            </w:pPr>
            <w:r>
              <w:t>18.03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5.30</w:t>
            </w:r>
          </w:p>
        </w:tc>
        <w:tc>
          <w:tcPr>
            <w:tcW w:w="2551" w:type="dxa"/>
            <w:vAlign w:val="center"/>
          </w:tcPr>
          <w:p>
            <w:pPr>
              <w:pStyle w:val="12"/>
            </w:pPr>
            <w:r>
              <w:t>5.30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14.55</w:t>
            </w:r>
          </w:p>
        </w:tc>
        <w:tc>
          <w:tcPr>
            <w:tcW w:w="2551" w:type="dxa"/>
            <w:vAlign w:val="center"/>
          </w:tcPr>
          <w:p>
            <w:pPr>
              <w:pStyle w:val="12"/>
            </w:pPr>
            <w:r>
              <w:t>14.55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8.85</w:t>
            </w:r>
          </w:p>
        </w:tc>
        <w:tc>
          <w:tcPr>
            <w:tcW w:w="2551" w:type="dxa"/>
            <w:vAlign w:val="center"/>
          </w:tcPr>
          <w:p>
            <w:pPr>
              <w:pStyle w:val="12"/>
            </w:pPr>
          </w:p>
        </w:tc>
        <w:tc>
          <w:tcPr>
            <w:tcW w:w="2551" w:type="dxa"/>
            <w:vAlign w:val="center"/>
          </w:tcPr>
          <w:p>
            <w:pPr>
              <w:pStyle w:val="12"/>
            </w:pPr>
            <w:r>
              <w:t>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3.30</w:t>
            </w:r>
          </w:p>
        </w:tc>
        <w:tc>
          <w:tcPr>
            <w:tcW w:w="2551" w:type="dxa"/>
            <w:vAlign w:val="center"/>
          </w:tcPr>
          <w:p>
            <w:pPr>
              <w:pStyle w:val="12"/>
            </w:pPr>
          </w:p>
        </w:tc>
        <w:tc>
          <w:tcPr>
            <w:tcW w:w="2551" w:type="dxa"/>
            <w:vAlign w:val="center"/>
          </w:tcPr>
          <w:p>
            <w:pPr>
              <w:pStyle w:val="12"/>
            </w:pPr>
            <w: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0.20</w:t>
            </w:r>
          </w:p>
        </w:tc>
        <w:tc>
          <w:tcPr>
            <w:tcW w:w="2551" w:type="dxa"/>
            <w:vAlign w:val="center"/>
          </w:tcPr>
          <w:p>
            <w:pPr>
              <w:pStyle w:val="12"/>
            </w:pPr>
          </w:p>
        </w:tc>
        <w:tc>
          <w:tcPr>
            <w:tcW w:w="2551"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2.70</w:t>
            </w:r>
          </w:p>
        </w:tc>
        <w:tc>
          <w:tcPr>
            <w:tcW w:w="2551" w:type="dxa"/>
            <w:vAlign w:val="center"/>
          </w:tcPr>
          <w:p>
            <w:pPr>
              <w:pStyle w:val="12"/>
            </w:pPr>
          </w:p>
        </w:tc>
        <w:tc>
          <w:tcPr>
            <w:tcW w:w="2551" w:type="dxa"/>
            <w:vAlign w:val="center"/>
          </w:tcPr>
          <w:p>
            <w:pPr>
              <w:pStyle w:val="12"/>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2.15</w:t>
            </w:r>
          </w:p>
        </w:tc>
        <w:tc>
          <w:tcPr>
            <w:tcW w:w="2551" w:type="dxa"/>
            <w:vAlign w:val="center"/>
          </w:tcPr>
          <w:p>
            <w:pPr>
              <w:pStyle w:val="12"/>
            </w:pPr>
          </w:p>
        </w:tc>
        <w:tc>
          <w:tcPr>
            <w:tcW w:w="2551" w:type="dxa"/>
            <w:vAlign w:val="center"/>
          </w:tcPr>
          <w:p>
            <w:pPr>
              <w:pStyle w:val="12"/>
            </w:pPr>
            <w:r>
              <w:t>2.15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0.50</w:t>
            </w:r>
          </w:p>
        </w:tc>
        <w:tc>
          <w:tcPr>
            <w:tcW w:w="2381" w:type="dxa"/>
            <w:vAlign w:val="center"/>
          </w:tcPr>
          <w:p>
            <w:pPr>
              <w:pStyle w:val="16"/>
            </w:pPr>
            <w:r>
              <w:t>0.50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0.50</w:t>
            </w:r>
          </w:p>
        </w:tc>
        <w:tc>
          <w:tcPr>
            <w:tcW w:w="2381" w:type="dxa"/>
            <w:vAlign w:val="center"/>
          </w:tcPr>
          <w:p>
            <w:pPr>
              <w:pStyle w:val="12"/>
            </w:pPr>
            <w:r>
              <w:t>0.50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0.50</w:t>
            </w:r>
          </w:p>
        </w:tc>
        <w:tc>
          <w:tcPr>
            <w:tcW w:w="2381" w:type="dxa"/>
            <w:vAlign w:val="center"/>
          </w:tcPr>
          <w:p>
            <w:pPr>
              <w:pStyle w:val="12"/>
            </w:pPr>
            <w:r>
              <w:t>0.50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昌黎县政府投资项目代建中心2024年部门预算信息公开情况说明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昌黎县政府投资项目代建中心2024年部门预算信息公开情况说明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按照《中华人民共和国预算法》《地方预决算公开操作规程》和《关于进一步推进预算公开工作的实施意见》规定，现将昌黎县政府投资项目代建中心2024年部门预算公开如下：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昌黎县政府投资项目代建中心本级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按照预算管理有关规定，目前部门预算的编制实行综合预算管理，即全部收入和支出都反映在预算中。昌黎县政府投资项目代建中心机关及所属事业单位的收支包含在部门预算中。</w:t>
      </w:r>
    </w:p>
    <w:p>
      <w:pPr>
        <w:pStyle w:val="19"/>
      </w:pPr>
      <w:r>
        <w:t>1、收入说明</w:t>
      </w:r>
    </w:p>
    <w:p>
      <w:pPr>
        <w:pStyle w:val="19"/>
      </w:pPr>
      <w:r>
        <w:t>反映本部门当年全部收入。2024年预算收入290.805571万元，其中：一般公共预算收入290.805571万元，基金预算收入0万元，国有资本经营预算收入0万元，财政专户核拨收入0万元，单位资金收入0万元，上年结转结余0万元。</w:t>
      </w:r>
    </w:p>
    <w:p>
      <w:pPr>
        <w:pStyle w:val="19"/>
      </w:pPr>
      <w:r>
        <w:t>2、支出说明</w:t>
      </w:r>
    </w:p>
    <w:p>
      <w:pPr>
        <w:pStyle w:val="19"/>
      </w:pPr>
      <w:r>
        <w:t>收支预算总表支出栏、基本支出表、项目支出表按经济分类和支出功能分类科目编制，反映昌黎县政府投资项目代建中心年度部门预算中支出预算的总体情况。2024年支出预算290.805571万元，其中基本支出290.805571万元，包括人员经费281.951571万元和日常公用经费8.854万元；项目支出0万元，主要为落实过紧日子要求，年初未安排预算项目支出</w:t>
      </w:r>
    </w:p>
    <w:p>
      <w:pPr>
        <w:pStyle w:val="19"/>
      </w:pPr>
      <w:r>
        <w:t>3、比上年增减情况</w:t>
      </w:r>
    </w:p>
    <w:p>
      <w:pPr>
        <w:pStyle w:val="19"/>
      </w:pPr>
      <w:r>
        <w:t>2024年预算收支安排290.805571万元，较2023年预算减少1.847291万元，其中：基本支出减少1.847291万元，主要为自筹人员减少两人，财政人员新增一人。项目支出增加0万元，主要为落实过紧日子要求，年初未安排预算项目支出</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2024年，我部门机关运行经费共计安排8.85万元，主要用于日常维修、办公用房水电费、办公用房取暖费、办公用房物业管理费等日常运行支出。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0.50万元，其中因公出国（境）费0.00万元；公务用车购置及运维费0.00万元（其中：公务用车购置费为0.00万元，公务用车运维费0.00万元)；公务接待费0.50万元。与2023年相比减少0.50万元，增减变化的主要原因是本部门严格落实“三公”经费的政策要求，本着厉行节约的原则，合理安排各项预算收入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习近平新时代中国特色社会主义思想和习近平文化思想为指导，深入贯彻落实党的二十大精神。习近平总书记强调：“基础设施是经济社会发展的重要支撑，要统筹发展和安全，优化基础设施布局、结构、功能和发展模式，构建现代化基础设施体系，为全面建设社会主义现代化国家打下坚实基础”。在县委县政府的领导下全面、精细、高效的完成工程的项目代建工作，确保工程质量、安全、进度和经济效益。加强对政府投资项目的统一管理，发挥政府投资的最大效益。全程负责政府投资项目的建设与管理，管理项目建设资金，使建设项目资金节约率大于等于1%；项目投资预算控制率小于等于100%。2024年实施建设项目2个，昌黎县文化中心项目于2020年已开工建设,主体工程已基本完工，2022年因资金情况全年停工，2024年继续积极协调有关部门，年底前全面完工；县委党校迁改项目已于2022年10月份进场开展前期施工准备，因历史遗留问题工程进度缓慢，2024年积极调有关部门，加快完成主体工程。</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（一）确保项目完成质量</w:t>
      </w:r>
    </w:p>
    <w:p>
      <w:pPr>
        <w:pStyle w:val="23"/>
      </w:pPr>
      <w:r>
        <w:t>绩效目标：积极完成上级部门下达的各项代建项目。</w:t>
      </w:r>
    </w:p>
    <w:p>
      <w:pPr>
        <w:pStyle w:val="23"/>
      </w:pPr>
      <w:r>
        <w:t>绩效指标：加强对项目的实施，以确保项目及时的、高质量的完成，代建项目完成数量等于2个。</w:t>
      </w:r>
    </w:p>
    <w:p>
      <w:pPr>
        <w:pStyle w:val="23"/>
      </w:pPr>
      <w:r>
        <w:t>（二）加强项目投资预算控制</w:t>
      </w:r>
    </w:p>
    <w:p>
      <w:pPr>
        <w:pStyle w:val="23"/>
      </w:pPr>
      <w:r>
        <w:t>绩效目标：项目预算实施精细化，监控工程的支出和收入。</w:t>
      </w:r>
    </w:p>
    <w:p>
      <w:pPr>
        <w:pStyle w:val="23"/>
      </w:pPr>
      <w:r>
        <w:t>绩效指标：项目过程中及时进行沟通，避免偏差出现，项目投资预算控制率小于等于100%。</w:t>
      </w:r>
    </w:p>
    <w:p>
      <w:pPr>
        <w:pStyle w:val="23"/>
      </w:pPr>
      <w:r>
        <w:t>（三）加强项目资金的财务管理</w:t>
      </w:r>
    </w:p>
    <w:p>
      <w:pPr>
        <w:pStyle w:val="23"/>
      </w:pPr>
      <w:r>
        <w:t>绩效目标：按工程计划，及时申请财政资金，确保工程进度。</w:t>
      </w:r>
    </w:p>
    <w:p>
      <w:pPr>
        <w:pStyle w:val="23"/>
      </w:pPr>
      <w:r>
        <w:t>绩效指标：及时处理工程费用偏差和节约措施等问题，确保经济效益最大化，建设项目资金节约率大于等于1%。</w:t>
      </w:r>
    </w:p>
    <w:p>
      <w:pPr>
        <w:pStyle w:val="23"/>
      </w:pPr>
      <w:r>
        <w:t>（四）加强对政府投资项目的统一管理</w:t>
      </w:r>
    </w:p>
    <w:p>
      <w:pPr>
        <w:pStyle w:val="23"/>
      </w:pPr>
      <w:r>
        <w:t>绩效目标：建立有效的项目管理机制，确保项目的稳定性和及时完成。</w:t>
      </w:r>
    </w:p>
    <w:p>
      <w:pPr>
        <w:pStyle w:val="23"/>
      </w:pPr>
      <w:r>
        <w:t>绩效指标：加快建设进度，把握项目实施效率，工程按期完成率大于等于100%、工程验收合格率大于等于95%。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（一）代建项目专人负责。中心对每个项目的实施成立项目工程部，确立项目负责人，从项目建设开始到结束全程负责。</w:t>
      </w:r>
    </w:p>
    <w:p>
      <w:pPr>
        <w:pStyle w:val="24"/>
      </w:pPr>
      <w:r>
        <w:t>（二）完善制度建设。根据昌黎县人民政府印发的《昌黎县人民政府投资项目“代建制”实施办法</w:t>
      </w:r>
      <w:bookmarkStart w:id="20" w:name="_GoBack"/>
      <w:bookmarkEnd w:id="20"/>
      <w:r>
        <w:rPr>
          <w:rFonts w:hint="eastAsia"/>
          <w:lang w:val="en-US" w:eastAsia="zh-CN"/>
        </w:rPr>
        <w:t>（</w:t>
      </w:r>
      <w:r>
        <w:t>试行</w:t>
      </w:r>
      <w:r>
        <w:rPr>
          <w:rFonts w:hint="eastAsia"/>
          <w:lang w:val="en-US" w:eastAsia="zh-CN"/>
        </w:rPr>
        <w:t>）</w:t>
      </w:r>
      <w:r>
        <w:t>》，制定完善预算绩效管理制度、资金管理办法、工作保障制度等内控管理办法，为全年预算绩效目标的实现奠定制度基础。</w:t>
      </w:r>
    </w:p>
    <w:p>
      <w:pPr>
        <w:pStyle w:val="24"/>
      </w:pPr>
      <w:r>
        <w:t>（三）加强支出管理。对项目资金的申请、支付与管理等方面制定相关规定，优化支出结构，编细编实预算，及时支付资金，确保支出进度达标。</w:t>
      </w:r>
    </w:p>
    <w:p>
      <w:pPr>
        <w:pStyle w:val="24"/>
      </w:pPr>
      <w:r>
        <w:t>（四）加强绩效运行监控。按要求开展绩效运行监控，发现问题及时采取措施，确保绩效目标如期保质实现。</w:t>
      </w:r>
    </w:p>
    <w:p>
      <w:pPr>
        <w:pStyle w:val="24"/>
      </w:pPr>
      <w:r>
        <w:t>（五）做好绩效自评。按要求开展上年度部门预算绩效自评和重点评价工作，对评价中发现的问题及时整改，调整优化支出结构，提高财政资金使用效益。</w:t>
      </w:r>
    </w:p>
    <w:p>
      <w:pPr>
        <w:pStyle w:val="24"/>
      </w:pPr>
      <w:r>
        <w:t>（六）规范财务资产管理。完善财务管理制度，严格审批程序，加强固定资产登记、使用和报废处置管理，做到支出合理，物尽其用。</w:t>
      </w:r>
    </w:p>
    <w:p>
      <w:pPr>
        <w:pStyle w:val="24"/>
      </w:pPr>
      <w:r>
        <w:t>（七）加强内部监督。加强内部监督制度建设，对绩效运行情况、重大支出决策、资产处置及其他重要事项的决策和执行进行督导，配合做好审计、财政监督等外部监督工作，确保财政资金安全有效。</w:t>
      </w:r>
    </w:p>
    <w:p>
      <w:pPr>
        <w:pStyle w:val="24"/>
      </w:pPr>
      <w:r>
        <w:t>（八）加强职工业务培训。通过培训，提高职工业务素质，强化预算绩效管理意识，促进预算绩效管理水平进一步提升。</w:t>
      </w:r>
    </w:p>
    <w:p>
      <w:pPr>
        <w:pStyle w:val="24"/>
        <w:sectPr>
          <w:pgSz w:w="16840" w:h="11900" w:orient="landscape"/>
          <w:pgMar w:top="1361" w:right="1020" w:bottom="1361" w:left="1020" w:header="720" w:footer="720" w:gutter="0"/>
          <w:cols w:space="720" w:num="1"/>
        </w:sectPr>
      </w:pPr>
      <w:r>
        <w:t>坚持厉行节约。坚持厉行节约，反对铺张浪费，科学规范分配财政资金，提高财政资金使用效益，建设节约型机关。</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昌黎县政府投资项目代建中心（含所属单位）上年末固定资产金额为3.02万元（详见下表）。本年度拟购置固定资产总额为0.00万元，已按要求列入政府采购预算，详见政府采购预算表。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9</w:t>
            </w:r>
          </w:p>
        </w:tc>
        <w:tc>
          <w:tcPr>
            <w:tcW w:w="2835" w:type="dxa"/>
            <w:vAlign w:val="center"/>
          </w:tcPr>
          <w:p>
            <w:pPr>
              <w:pStyle w:val="12"/>
            </w:pPr>
            <w:r>
              <w:t>3.02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E1677E1"/>
    <w:rsid w:val="66DF7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2024-02-05T09:44:27Z</dcterms:created>
  <dcterms:modified xsi:type="dcterms:W3CDTF">2024-02-05T01:44:27Z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2024-02-05T09:44:27Z</dcterms:created>
  <dcterms:modified xsi:type="dcterms:W3CDTF">2024-02-05T01:44:27Z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2024-02-05T09:44:27Z</dcterms:created>
  <dcterms:modified xsi:type="dcterms:W3CDTF">2024-02-05T01:44:27Z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2024-02-05T09:44:27Z</dcterms:created>
  <dcterms:modified xsi:type="dcterms:W3CDTF">2024-02-05T01:44:27Z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31d619-3250-4f68-88dd-803ebc4d99cb}">
  <ds:schemaRefs/>
</ds:datastoreItem>
</file>

<file path=customXml/itemProps3.xml><?xml version="1.0" encoding="utf-8"?>
<ds:datastoreItem xmlns:ds="http://schemas.openxmlformats.org/officeDocument/2006/customXml" ds:itemID="{2d8f260c-3e10-4fda-a75c-87319049c593}">
  <ds:schemaRefs/>
</ds:datastoreItem>
</file>

<file path=customXml/itemProps4.xml><?xml version="1.0" encoding="utf-8"?>
<ds:datastoreItem xmlns:ds="http://schemas.openxmlformats.org/officeDocument/2006/customXml" ds:itemID="{e0482a27-2c5f-460e-a290-3ac9a3b567c0}">
  <ds:schemaRefs/>
</ds:datastoreItem>
</file>

<file path=customXml/itemProps5.xml><?xml version="1.0" encoding="utf-8"?>
<ds:datastoreItem xmlns:ds="http://schemas.openxmlformats.org/officeDocument/2006/customXml" ds:itemID="{08d31dba-4ab3-4654-a526-e8a56c67b30d}">
  <ds:schemaRefs/>
</ds:datastoreItem>
</file>

<file path=customXml/itemProps6.xml><?xml version="1.0" encoding="utf-8"?>
<ds:datastoreItem xmlns:ds="http://schemas.openxmlformats.org/officeDocument/2006/customXml" ds:itemID="{e73dde8b-4396-4e5d-a7f7-b42d19e8fe78}">
  <ds:schemaRefs/>
</ds:datastoreItem>
</file>

<file path=customXml/itemProps7.xml><?xml version="1.0" encoding="utf-8"?>
<ds:datastoreItem xmlns:ds="http://schemas.openxmlformats.org/officeDocument/2006/customXml" ds:itemID="{b9a3c75c-5919-4d03-be7c-94d61f1132ff}">
  <ds:schemaRefs/>
</ds:datastoreItem>
</file>

<file path=customXml/itemProps8.xml><?xml version="1.0" encoding="utf-8"?>
<ds:datastoreItem xmlns:ds="http://schemas.openxmlformats.org/officeDocument/2006/customXml" ds:itemID="{0a69b405-3c45-4a18-bc76-444a42dc19dc}">
  <ds:schemaRefs/>
</ds:datastoreItem>
</file>

<file path=customXml/itemProps9.xml><?xml version="1.0" encoding="utf-8"?>
<ds:datastoreItem xmlns:ds="http://schemas.openxmlformats.org/officeDocument/2006/customXml" ds:itemID="{a57f353c-3805-4eeb-9dfd-4e8446e169eb}">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2024-02-05T09:44:00Z</dcterms:created>
  <dc:creator>Administrator</dc:creator>
  <cp:lastModifiedBy>Administrator</cp:lastModifiedBy>
  <dcterms:modified xsi:type="dcterms:W3CDTF">2026-04-27T01:40:15Z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6A617F79693F4BDB8F90FC24112D50D0</vt:lpwstr>
  </property>
</Properties>
</file>