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10" w:lineRule="exact"/>
        <w:textAlignment w:val="auto"/>
        <w:rPr>
          <w:rFonts w:ascii="黑体" w:hAnsi="黑体" w:eastAsia="黑体" w:cs="仿宋"/>
          <w:sz w:val="32"/>
          <w:szCs w:val="32"/>
        </w:rPr>
      </w:pPr>
      <w:r>
        <w:rPr>
          <w:rFonts w:hint="eastAsia" w:ascii="黑体" w:hAnsi="黑体" w:eastAsia="黑体" w:cs="仿宋"/>
          <w:sz w:val="32"/>
          <w:szCs w:val="32"/>
          <w:lang w:val="en"/>
        </w:rPr>
        <w:t>附件1</w:t>
      </w:r>
    </w:p>
    <w:p>
      <w:pPr>
        <w:keepNext w:val="0"/>
        <w:keepLines w:val="0"/>
        <w:pageBreakBefore w:val="0"/>
        <w:widowControl w:val="0"/>
        <w:kinsoku/>
        <w:wordWrap/>
        <w:overflowPunct/>
        <w:topLinePunct w:val="0"/>
        <w:autoSpaceDE/>
        <w:autoSpaceDN/>
        <w:bidi w:val="0"/>
        <w:spacing w:line="610" w:lineRule="exact"/>
        <w:jc w:val="center"/>
        <w:textAlignment w:val="auto"/>
        <w:rPr>
          <w:rFonts w:ascii="方正小标宋简体" w:hAnsi="方正小标宋简体" w:eastAsia="方正小标宋简体" w:cs="方正小标宋简体"/>
          <w:spacing w:val="-6"/>
          <w:sz w:val="44"/>
          <w:szCs w:val="44"/>
        </w:rPr>
      </w:pPr>
    </w:p>
    <w:p>
      <w:pPr>
        <w:keepNext w:val="0"/>
        <w:keepLines w:val="0"/>
        <w:pageBreakBefore w:val="0"/>
        <w:widowControl w:val="0"/>
        <w:kinsoku/>
        <w:wordWrap/>
        <w:overflowPunct/>
        <w:topLinePunct w:val="0"/>
        <w:autoSpaceDE/>
        <w:autoSpaceDN/>
        <w:bidi w:val="0"/>
        <w:spacing w:line="610" w:lineRule="exact"/>
        <w:jc w:val="both"/>
        <w:textAlignment w:val="auto"/>
        <w:rPr>
          <w:rFonts w:ascii="方正小标宋简体" w:hAnsi="方正小标宋简体" w:eastAsia="方正小标宋简体" w:cs="方正小标宋简体"/>
          <w:spacing w:val="-23"/>
          <w:sz w:val="44"/>
          <w:szCs w:val="44"/>
        </w:rPr>
      </w:pPr>
      <w:r>
        <w:rPr>
          <w:rFonts w:hint="eastAsia" w:ascii="方正小标宋简体" w:hAnsi="方正小标宋简体" w:eastAsia="方正小标宋简体" w:cs="方正小标宋简体"/>
          <w:spacing w:val="-23"/>
          <w:sz w:val="44"/>
          <w:szCs w:val="44"/>
        </w:rPr>
        <w:t>昌黎县</w:t>
      </w:r>
      <w:r>
        <w:rPr>
          <w:rFonts w:hint="eastAsia" w:ascii="方正小标宋简体" w:hAnsi="方正小标宋简体" w:eastAsia="方正小标宋简体" w:cs="方正小标宋简体"/>
          <w:spacing w:val="-23"/>
          <w:sz w:val="44"/>
          <w:szCs w:val="44"/>
          <w:lang w:eastAsia="zh-CN"/>
        </w:rPr>
        <w:t>西热东输供热工程</w:t>
      </w:r>
      <w:r>
        <w:rPr>
          <w:rFonts w:hint="eastAsia" w:ascii="方正小标宋简体" w:hAnsi="方正小标宋简体" w:eastAsia="方正小标宋简体" w:cs="方正小标宋简体"/>
          <w:spacing w:val="-23"/>
          <w:sz w:val="44"/>
          <w:szCs w:val="44"/>
        </w:rPr>
        <w:t>建设工作领导小组成员名单</w:t>
      </w:r>
    </w:p>
    <w:p>
      <w:pPr>
        <w:keepNext w:val="0"/>
        <w:keepLines w:val="0"/>
        <w:pageBreakBefore w:val="0"/>
        <w:widowControl w:val="0"/>
        <w:kinsoku/>
        <w:wordWrap/>
        <w:overflowPunct/>
        <w:topLinePunct w:val="0"/>
        <w:autoSpaceDE/>
        <w:autoSpaceDN/>
        <w:bidi w:val="0"/>
        <w:spacing w:line="610" w:lineRule="exact"/>
        <w:ind w:firstLine="645"/>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  长：宗振华    县委书记</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狄  莎    县委副书记、县政府县长</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副组长：</w:t>
      </w:r>
      <w:bookmarkStart w:id="0" w:name="_Hlk98833600"/>
      <w:r>
        <w:rPr>
          <w:rFonts w:hint="eastAsia" w:ascii="仿宋_GB2312" w:hAnsi="仿宋_GB2312" w:eastAsia="仿宋_GB2312" w:cs="仿宋_GB2312"/>
          <w:sz w:val="32"/>
          <w:szCs w:val="32"/>
        </w:rPr>
        <w:t>李振生    县委常委、县政府常务副县长</w:t>
      </w:r>
      <w:bookmarkEnd w:id="0"/>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李  锋    县政府副县长</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刘永丰    县政府党组成员</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成  员：田利海    县住建局局长</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bookmarkStart w:id="1" w:name="_Hlk98833419"/>
      <w:r>
        <w:rPr>
          <w:rFonts w:hint="eastAsia" w:ascii="仿宋_GB2312" w:hAnsi="仿宋_GB2312" w:eastAsia="仿宋_GB2312" w:cs="仿宋_GB2312"/>
          <w:sz w:val="32"/>
          <w:szCs w:val="32"/>
        </w:rPr>
        <w:t>郭  毅    县财政局局长</w:t>
      </w:r>
      <w:bookmarkEnd w:id="1"/>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刘洪波    县资源规划局党组书记</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马建明    县资源规划局局长</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2" w:name="_Hlk98833448"/>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李鸿飞    县发改局局长</w:t>
      </w:r>
      <w:bookmarkEnd w:id="2"/>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赵林涛    县审批局局长</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杨海峰    县水务局局长</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张入军    县交通局局长</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王新宇    县税务局局长</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邵长岭    市生态环境局昌黎分局局长</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杜大明    南区管理处党委书记、管委主任            </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钱连喜    龙家店镇党委书记</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邢振江    安山镇党委书记</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刘春雷    靖安镇党委书记</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李玉忠    朱各庄镇党委书记             </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刘  飞    马坨店乡党委书记</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  龙    县国有资产运营中心主任</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李振勇    县热力公司经理</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张冰梅</w:t>
      </w:r>
      <w:r>
        <w:rPr>
          <w:rFonts w:hint="eastAsia" w:ascii="仿宋_GB2312" w:hAnsi="仿宋_GB2312" w:eastAsia="仿宋_GB2312" w:cs="仿宋_GB2312"/>
          <w:sz w:val="32"/>
          <w:szCs w:val="32"/>
          <w:lang w:val="en-US" w:eastAsia="zh-CN"/>
        </w:rPr>
        <w:t xml:space="preserve">    昌黎农业发展银行行长</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bookmarkStart w:id="3" w:name="_Hlk98836661"/>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黄忠臣    县城发公司工作组组长</w:t>
      </w:r>
    </w:p>
    <w:bookmarkEnd w:id="3"/>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刘志国    秦皇岛滨海投资有限公司董事长</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吕宁川    国网昌黎县供电公司经理</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刘  涛</w:t>
      </w:r>
      <w:r>
        <w:rPr>
          <w:rFonts w:hint="eastAsia" w:ascii="仿宋_GB2312" w:hAnsi="仿宋_GB2312" w:eastAsia="仿宋_GB2312" w:cs="仿宋_GB2312"/>
          <w:sz w:val="32"/>
          <w:szCs w:val="32"/>
        </w:rPr>
        <w:t xml:space="preserve">    县城发公司工作组</w:t>
      </w: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rPr>
        <w:t xml:space="preserve">组长   </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领导小组办公室设在昌黎县利昌供热有限公司，办公室主任由刘涛同志担任。领导小组下设</w:t>
      </w:r>
      <w:r>
        <w:rPr>
          <w:rFonts w:hint="eastAsia" w:ascii="仿宋_GB2312" w:hAnsi="仿宋_GB2312" w:eastAsia="仿宋_GB2312" w:cs="仿宋_GB2312"/>
          <w:sz w:val="32"/>
          <w:szCs w:val="32"/>
          <w:lang w:eastAsia="zh-CN"/>
        </w:rPr>
        <w:t>热源保障、</w:t>
      </w:r>
      <w:r>
        <w:rPr>
          <w:rFonts w:hint="eastAsia" w:ascii="仿宋_GB2312" w:hAnsi="仿宋_GB2312" w:eastAsia="仿宋_GB2312" w:cs="仿宋_GB2312"/>
          <w:sz w:val="32"/>
          <w:szCs w:val="32"/>
        </w:rPr>
        <w:t>资产注入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手续办理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资金保障及租金确定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征（占）地补偿方案制定</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5个专项工作组，统筹推进项目建设相关工作。</w:t>
      </w:r>
    </w:p>
    <w:p>
      <w:pPr>
        <w:keepNext w:val="0"/>
        <w:keepLines w:val="0"/>
        <w:pageBreakBefore w:val="0"/>
        <w:widowControl w:val="0"/>
        <w:kinsoku/>
        <w:wordWrap/>
        <w:overflowPunct/>
        <w:topLinePunct w:val="0"/>
        <w:autoSpaceDE/>
        <w:autoSpaceDN/>
        <w:bidi w:val="0"/>
        <w:spacing w:line="610" w:lineRule="exact"/>
        <w:textAlignment w:val="auto"/>
        <w:rPr>
          <w:rFonts w:ascii="仿宋" w:hAnsi="仿宋" w:eastAsia="仿宋" w:cs="仿宋"/>
          <w:sz w:val="32"/>
          <w:szCs w:val="32"/>
        </w:rPr>
      </w:pPr>
      <w:r>
        <w:rPr>
          <w:rFonts w:hint="eastAsia" w:ascii="黑体" w:hAnsi="黑体" w:eastAsia="黑体" w:cs="仿宋"/>
          <w:sz w:val="32"/>
          <w:szCs w:val="32"/>
          <w:lang w:val="en-US" w:eastAsia="zh-CN"/>
        </w:rPr>
        <w:t xml:space="preserve">    </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热源保障专项组</w:t>
      </w:r>
      <w:bookmarkStart w:id="4" w:name="_Hlk98837199"/>
      <w:r>
        <w:rPr>
          <w:rFonts w:hint="eastAsia" w:ascii="仿宋_GB2312" w:hAnsi="仿宋_GB2312" w:eastAsia="仿宋_GB2312" w:cs="仿宋_GB2312"/>
          <w:b/>
          <w:bCs/>
          <w:sz w:val="32"/>
          <w:szCs w:val="32"/>
          <w:lang w:eastAsia="zh-CN"/>
        </w:rPr>
        <w:t>。</w:t>
      </w:r>
      <w:bookmarkEnd w:id="4"/>
      <w:r>
        <w:rPr>
          <w:rFonts w:hint="eastAsia" w:ascii="仿宋_GB2312" w:hAnsi="仿宋_GB2312" w:eastAsia="仿宋_GB2312" w:cs="仿宋_GB2312"/>
          <w:sz w:val="32"/>
          <w:szCs w:val="32"/>
        </w:rPr>
        <w:t>由县住建局牵头，负责与安丰、宏兴两家钢铁企业对接，确定钢厂供热能力、供热价格，督促</w:t>
      </w:r>
      <w:r>
        <w:rPr>
          <w:rFonts w:hint="eastAsia" w:ascii="仿宋_GB2312" w:hAnsi="仿宋_GB2312" w:eastAsia="仿宋_GB2312" w:cs="仿宋_GB2312"/>
          <w:sz w:val="32"/>
          <w:szCs w:val="32"/>
          <w:lang w:val="en"/>
        </w:rPr>
        <w:t>两家钢铁</w:t>
      </w:r>
      <w:r>
        <w:rPr>
          <w:rFonts w:hint="eastAsia" w:ascii="仿宋_GB2312" w:hAnsi="仿宋_GB2312" w:eastAsia="仿宋_GB2312" w:cs="仿宋_GB2312"/>
          <w:sz w:val="32"/>
          <w:szCs w:val="32"/>
        </w:rPr>
        <w:t>企业厂区内部换热首站及管网建设，确定供热管道接口位置，确保</w:t>
      </w:r>
      <w:r>
        <w:rPr>
          <w:rFonts w:hint="eastAsia" w:ascii="仿宋_GB2312" w:hAnsi="仿宋_GB2312" w:eastAsia="仿宋_GB2312" w:cs="仿宋_GB2312"/>
          <w:sz w:val="32"/>
          <w:szCs w:val="32"/>
          <w:lang w:eastAsia="zh-CN"/>
        </w:rPr>
        <w:t>西热东输供热工程</w:t>
      </w:r>
      <w:r>
        <w:rPr>
          <w:rFonts w:hint="eastAsia" w:ascii="仿宋_GB2312" w:hAnsi="仿宋_GB2312" w:eastAsia="仿宋_GB2312" w:cs="仿宋_GB2312"/>
          <w:sz w:val="32"/>
          <w:szCs w:val="32"/>
        </w:rPr>
        <w:t>管道如期对接并保质保量提供热源。</w:t>
      </w:r>
    </w:p>
    <w:p>
      <w:pPr>
        <w:keepNext w:val="0"/>
        <w:keepLines w:val="0"/>
        <w:pageBreakBefore w:val="0"/>
        <w:widowControl w:val="0"/>
        <w:kinsoku/>
        <w:wordWrap/>
        <w:overflowPunct/>
        <w:topLinePunct w:val="0"/>
        <w:autoSpaceDE/>
        <w:autoSpaceDN/>
        <w:bidi w:val="0"/>
        <w:spacing w:line="610" w:lineRule="exact"/>
        <w:textAlignment w:val="auto"/>
        <w:rPr>
          <w:rFonts w:ascii="仿宋" w:hAnsi="仿宋" w:eastAsia="仿宋" w:cs="仿宋"/>
          <w:sz w:val="30"/>
          <w:szCs w:val="30"/>
        </w:rPr>
      </w:pPr>
      <w:r>
        <w:rPr>
          <w:rFonts w:hint="eastAsia" w:ascii="黑体" w:hAnsi="黑体" w:eastAsia="黑体" w:cs="仿宋"/>
          <w:sz w:val="32"/>
          <w:szCs w:val="32"/>
          <w:lang w:val="en-US" w:eastAsia="zh-CN"/>
        </w:rPr>
        <w:t xml:space="preserve">    </w:t>
      </w:r>
      <w:r>
        <w:rPr>
          <w:rFonts w:hint="eastAsia" w:ascii="仿宋_GB2312" w:hAnsi="仿宋_GB2312" w:eastAsia="仿宋_GB2312" w:cs="仿宋_GB2312"/>
          <w:b/>
          <w:bCs/>
          <w:sz w:val="32"/>
          <w:szCs w:val="32"/>
          <w:lang w:val="en-US" w:eastAsia="zh-CN"/>
        </w:rPr>
        <w:t>2.资产注入专项组。</w:t>
      </w:r>
      <w:r>
        <w:rPr>
          <w:rFonts w:hint="eastAsia" w:ascii="仿宋_GB2312" w:hAnsi="仿宋_GB2312" w:eastAsia="仿宋_GB2312" w:cs="仿宋_GB2312"/>
          <w:sz w:val="32"/>
          <w:szCs w:val="32"/>
        </w:rPr>
        <w:t>由县</w:t>
      </w:r>
      <w:r>
        <w:rPr>
          <w:rFonts w:hint="eastAsia" w:ascii="仿宋_GB2312" w:hAnsi="仿宋_GB2312" w:eastAsia="仿宋_GB2312" w:cs="仿宋_GB2312"/>
          <w:sz w:val="32"/>
          <w:szCs w:val="32"/>
          <w:lang w:eastAsia="zh-CN"/>
        </w:rPr>
        <w:t>国资办</w:t>
      </w:r>
      <w:r>
        <w:rPr>
          <w:rFonts w:hint="eastAsia" w:ascii="仿宋_GB2312" w:hAnsi="仿宋_GB2312" w:eastAsia="仿宋_GB2312" w:cs="仿宋_GB2312"/>
          <w:sz w:val="32"/>
          <w:szCs w:val="32"/>
        </w:rPr>
        <w:t>牵头，原资产管理单位及资源规划、</w:t>
      </w:r>
      <w:r>
        <w:rPr>
          <w:rFonts w:hint="eastAsia" w:ascii="仿宋_GB2312" w:hAnsi="仿宋_GB2312" w:eastAsia="仿宋_GB2312" w:cs="仿宋_GB2312"/>
          <w:sz w:val="32"/>
          <w:szCs w:val="32"/>
          <w:lang w:eastAsia="zh-CN"/>
        </w:rPr>
        <w:t>审批、</w:t>
      </w:r>
      <w:r>
        <w:rPr>
          <w:rFonts w:hint="eastAsia" w:ascii="仿宋_GB2312" w:hAnsi="仿宋_GB2312" w:eastAsia="仿宋_GB2312" w:cs="仿宋_GB2312"/>
          <w:sz w:val="32"/>
          <w:szCs w:val="32"/>
        </w:rPr>
        <w:t>税务、城发公司等部门各司其职、全力配合，尽快完成</w:t>
      </w:r>
      <w:r>
        <w:rPr>
          <w:rFonts w:hint="eastAsia" w:ascii="仿宋_GB2312" w:hAnsi="仿宋_GB2312" w:eastAsia="仿宋_GB2312" w:cs="仿宋_GB2312"/>
          <w:sz w:val="32"/>
          <w:szCs w:val="32"/>
          <w:lang w:val="en"/>
        </w:rPr>
        <w:t>县城发</w:t>
      </w:r>
      <w:r>
        <w:rPr>
          <w:rFonts w:hint="eastAsia" w:ascii="仿宋_GB2312" w:hAnsi="仿宋_GB2312" w:eastAsia="仿宋_GB2312" w:cs="仿宋_GB2312"/>
          <w:sz w:val="32"/>
          <w:szCs w:val="32"/>
        </w:rPr>
        <w:t>公司资产注入工作。</w:t>
      </w:r>
    </w:p>
    <w:p>
      <w:pPr>
        <w:keepNext w:val="0"/>
        <w:keepLines w:val="0"/>
        <w:pageBreakBefore w:val="0"/>
        <w:widowControl w:val="0"/>
        <w:kinsoku/>
        <w:wordWrap/>
        <w:overflowPunct/>
        <w:topLinePunct w:val="0"/>
        <w:autoSpaceDE/>
        <w:autoSpaceDN/>
        <w:bidi w:val="0"/>
        <w:spacing w:line="610" w:lineRule="exact"/>
        <w:textAlignment w:val="auto"/>
        <w:rPr>
          <w:rFonts w:ascii="仿宋" w:hAnsi="仿宋" w:eastAsia="仿宋" w:cs="仿宋"/>
          <w:sz w:val="32"/>
          <w:szCs w:val="32"/>
        </w:rPr>
      </w:pPr>
      <w:r>
        <w:rPr>
          <w:rFonts w:hint="eastAsia" w:ascii="黑体" w:hAnsi="黑体" w:eastAsia="黑体" w:cs="仿宋"/>
          <w:sz w:val="32"/>
          <w:szCs w:val="32"/>
          <w:lang w:val="en-US" w:eastAsia="zh-CN"/>
        </w:rPr>
        <w:t xml:space="preserve">    </w:t>
      </w:r>
      <w:r>
        <w:rPr>
          <w:rFonts w:hint="eastAsia" w:ascii="仿宋_GB2312" w:hAnsi="仿宋_GB2312" w:eastAsia="仿宋_GB2312" w:cs="仿宋_GB2312"/>
          <w:b/>
          <w:bCs/>
          <w:sz w:val="32"/>
          <w:szCs w:val="32"/>
          <w:lang w:val="en-US" w:eastAsia="zh-CN"/>
        </w:rPr>
        <w:t>3.手续办理专项组。</w:t>
      </w:r>
      <w:r>
        <w:rPr>
          <w:rFonts w:hint="eastAsia" w:ascii="仿宋_GB2312" w:hAnsi="仿宋_GB2312" w:eastAsia="仿宋_GB2312" w:cs="仿宋_GB2312"/>
          <w:sz w:val="32"/>
          <w:szCs w:val="32"/>
        </w:rPr>
        <w:t>由县城发公司牵头，负责项目实施主体相关手续审批，尽快完成</w:t>
      </w:r>
      <w:r>
        <w:rPr>
          <w:rFonts w:hint="eastAsia" w:ascii="仿宋_GB2312" w:hAnsi="仿宋_GB2312" w:eastAsia="仿宋_GB2312" w:cs="仿宋_GB2312"/>
          <w:sz w:val="32"/>
          <w:szCs w:val="32"/>
          <w:lang w:val="en"/>
        </w:rPr>
        <w:t>昌黎县</w:t>
      </w:r>
      <w:r>
        <w:rPr>
          <w:rFonts w:hint="eastAsia" w:ascii="仿宋_GB2312" w:hAnsi="仿宋_GB2312" w:eastAsia="仿宋_GB2312" w:cs="仿宋_GB2312"/>
          <w:sz w:val="32"/>
          <w:szCs w:val="32"/>
        </w:rPr>
        <w:t>利昌供热有限公司注册登记。组织现场踏勘和实地测绘，尽快确定项目路由、中继泵站选址，加快项目可研、立项、用地手续、工程规划、初设、施工许可等手续的办理。电力部门落实</w:t>
      </w:r>
      <w:bookmarkStart w:id="5" w:name="_Hlk98834071"/>
      <w:r>
        <w:rPr>
          <w:rFonts w:hint="eastAsia" w:ascii="仿宋_GB2312" w:hAnsi="仿宋_GB2312" w:eastAsia="仿宋_GB2312" w:cs="仿宋_GB2312"/>
          <w:sz w:val="32"/>
          <w:szCs w:val="32"/>
        </w:rPr>
        <w:t>中继泵站</w:t>
      </w:r>
      <w:bookmarkEnd w:id="5"/>
      <w:r>
        <w:rPr>
          <w:rFonts w:hint="eastAsia" w:ascii="仿宋_GB2312" w:hAnsi="仿宋_GB2312" w:eastAsia="仿宋_GB2312" w:cs="仿宋_GB2312"/>
          <w:sz w:val="32"/>
          <w:szCs w:val="32"/>
        </w:rPr>
        <w:t>供电手续。与省、市交通部门</w:t>
      </w:r>
      <w:r>
        <w:rPr>
          <w:rFonts w:hint="eastAsia" w:ascii="仿宋_GB2312" w:hAnsi="仿宋_GB2312" w:eastAsia="仿宋_GB2312" w:cs="仿宋_GB2312"/>
          <w:sz w:val="32"/>
          <w:szCs w:val="32"/>
          <w:lang w:val="en"/>
        </w:rPr>
        <w:t>以及</w:t>
      </w:r>
      <w:r>
        <w:rPr>
          <w:rFonts w:hint="eastAsia" w:ascii="仿宋_GB2312" w:hAnsi="仿宋_GB2312" w:eastAsia="仿宋_GB2312" w:cs="仿宋_GB2312"/>
          <w:sz w:val="32"/>
          <w:szCs w:val="32"/>
        </w:rPr>
        <w:t>高速管理部门协调办理相关审批手续。各相关单位主动靠前服务，</w:t>
      </w:r>
      <w:r>
        <w:rPr>
          <w:rFonts w:hint="eastAsia" w:ascii="仿宋_GB2312" w:hAnsi="仿宋_GB2312" w:eastAsia="仿宋_GB2312" w:cs="仿宋_GB2312"/>
          <w:sz w:val="32"/>
          <w:szCs w:val="32"/>
          <w:lang w:val="en"/>
        </w:rPr>
        <w:t>积极推进</w:t>
      </w:r>
      <w:r>
        <w:rPr>
          <w:rFonts w:hint="eastAsia" w:ascii="仿宋_GB2312" w:hAnsi="仿宋_GB2312" w:eastAsia="仿宋_GB2312" w:cs="仿宋_GB2312"/>
          <w:sz w:val="32"/>
          <w:szCs w:val="32"/>
        </w:rPr>
        <w:t>各项手续办理、审批顺利进行，确保项目早开工、早建设、早达效。</w:t>
      </w:r>
    </w:p>
    <w:p>
      <w:pPr>
        <w:keepNext w:val="0"/>
        <w:keepLines w:val="0"/>
        <w:pageBreakBefore w:val="0"/>
        <w:widowControl w:val="0"/>
        <w:kinsoku/>
        <w:wordWrap/>
        <w:overflowPunct/>
        <w:topLinePunct w:val="0"/>
        <w:autoSpaceDE/>
        <w:autoSpaceDN/>
        <w:bidi w:val="0"/>
        <w:spacing w:line="610" w:lineRule="exact"/>
        <w:textAlignment w:val="auto"/>
        <w:rPr>
          <w:rFonts w:ascii="仿宋" w:hAnsi="仿宋" w:eastAsia="仿宋" w:cs="仿宋"/>
          <w:sz w:val="32"/>
          <w:szCs w:val="32"/>
        </w:rPr>
      </w:pPr>
      <w:r>
        <w:rPr>
          <w:rFonts w:hint="eastAsia" w:ascii="黑体" w:hAnsi="黑体" w:eastAsia="黑体" w:cs="仿宋"/>
          <w:sz w:val="32"/>
          <w:szCs w:val="32"/>
          <w:lang w:val="en-US" w:eastAsia="zh-CN"/>
        </w:rPr>
        <w:t xml:space="preserve">    </w:t>
      </w:r>
      <w:r>
        <w:rPr>
          <w:rFonts w:hint="eastAsia" w:ascii="仿宋_GB2312" w:hAnsi="仿宋_GB2312" w:eastAsia="仿宋_GB2312" w:cs="仿宋_GB2312"/>
          <w:b/>
          <w:bCs/>
          <w:sz w:val="32"/>
          <w:szCs w:val="32"/>
          <w:lang w:val="en-US" w:eastAsia="zh-CN"/>
        </w:rPr>
        <w:t>4.资金保障及租金确定专项组。</w:t>
      </w:r>
      <w:r>
        <w:rPr>
          <w:rFonts w:hint="eastAsia" w:ascii="仿宋_GB2312" w:hAnsi="仿宋_GB2312" w:eastAsia="仿宋_GB2312" w:cs="仿宋_GB2312"/>
          <w:sz w:val="32"/>
          <w:szCs w:val="32"/>
        </w:rPr>
        <w:t>由县城发公司牵头，负责与</w:t>
      </w:r>
      <w:r>
        <w:rPr>
          <w:rFonts w:hint="eastAsia" w:ascii="仿宋_GB2312" w:hAnsi="仿宋_GB2312" w:eastAsia="仿宋_GB2312" w:cs="仿宋_GB2312"/>
          <w:sz w:val="32"/>
          <w:szCs w:val="32"/>
          <w:lang w:val="en-US" w:eastAsia="zh-CN"/>
        </w:rPr>
        <w:t>昌黎</w:t>
      </w:r>
      <w:r>
        <w:rPr>
          <w:rFonts w:hint="eastAsia" w:ascii="仿宋_GB2312" w:hAnsi="仿宋_GB2312" w:eastAsia="仿宋_GB2312" w:cs="仿宋_GB2312"/>
          <w:sz w:val="32"/>
          <w:szCs w:val="32"/>
        </w:rPr>
        <w:t>农发行沟通对接，商榷融资抵押、担保</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项目资金具体事宜，按照金融部门要求完善相关手续，并争取市</w:t>
      </w:r>
      <w:r>
        <w:rPr>
          <w:rFonts w:hint="eastAsia" w:ascii="仿宋_GB2312" w:hAnsi="仿宋_GB2312" w:eastAsia="仿宋_GB2312" w:cs="仿宋_GB2312"/>
          <w:sz w:val="32"/>
          <w:szCs w:val="32"/>
          <w:lang w:val="en"/>
        </w:rPr>
        <w:t>农发</w:t>
      </w:r>
      <w:r>
        <w:rPr>
          <w:rFonts w:hint="eastAsia" w:ascii="仿宋_GB2312" w:hAnsi="仿宋_GB2312" w:eastAsia="仿宋_GB2312" w:cs="仿宋_GB2312"/>
          <w:sz w:val="32"/>
          <w:szCs w:val="32"/>
        </w:rPr>
        <w:t>行、省</w:t>
      </w:r>
      <w:r>
        <w:rPr>
          <w:rFonts w:hint="eastAsia" w:ascii="仿宋_GB2312" w:hAnsi="仿宋_GB2312" w:eastAsia="仿宋_GB2312" w:cs="仿宋_GB2312"/>
          <w:sz w:val="32"/>
          <w:szCs w:val="32"/>
          <w:lang w:val="en"/>
        </w:rPr>
        <w:t>农发</w:t>
      </w:r>
      <w:r>
        <w:rPr>
          <w:rFonts w:hint="eastAsia" w:ascii="仿宋_GB2312" w:hAnsi="仿宋_GB2312" w:eastAsia="仿宋_GB2312" w:cs="仿宋_GB2312"/>
          <w:sz w:val="32"/>
          <w:szCs w:val="32"/>
        </w:rPr>
        <w:t>行的指导与支持，全力推进项目融资工作，破解项目建设资金瓶颈；研究利昌供热公司与县热力公司管网租赁协议，确定租金金额。</w:t>
      </w:r>
    </w:p>
    <w:p>
      <w:pPr>
        <w:keepNext w:val="0"/>
        <w:keepLines w:val="0"/>
        <w:pageBreakBefore w:val="0"/>
        <w:widowControl w:val="0"/>
        <w:kinsoku/>
        <w:wordWrap/>
        <w:overflowPunct/>
        <w:topLinePunct w:val="0"/>
        <w:autoSpaceDE/>
        <w:autoSpaceDN/>
        <w:bidi w:val="0"/>
        <w:spacing w:line="61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5.征（占）地补偿方案制定专项组。</w:t>
      </w:r>
      <w:r>
        <w:rPr>
          <w:rFonts w:hint="eastAsia" w:ascii="仿宋_GB2312" w:hAnsi="仿宋_GB2312" w:eastAsia="仿宋_GB2312" w:cs="仿宋_GB2312"/>
          <w:sz w:val="32"/>
          <w:szCs w:val="32"/>
        </w:rPr>
        <w:t>由县资源规划局牵头，负责中继泵站征地补偿方案及施工临时占地补偿方案的制定，涉及的各部门、乡镇各司其职、全力配合，及时办理用地手续和补偿工作，保障</w:t>
      </w:r>
      <w:r>
        <w:rPr>
          <w:rFonts w:hint="eastAsia" w:ascii="仿宋_GB2312" w:hAnsi="仿宋_GB2312" w:eastAsia="仿宋_GB2312" w:cs="仿宋_GB2312"/>
          <w:sz w:val="32"/>
          <w:szCs w:val="32"/>
          <w:lang w:eastAsia="zh-CN"/>
        </w:rPr>
        <w:t>西热东输供热工程</w:t>
      </w:r>
      <w:r>
        <w:rPr>
          <w:rFonts w:hint="eastAsia" w:ascii="仿宋_GB2312" w:hAnsi="仿宋_GB2312" w:eastAsia="仿宋_GB2312" w:cs="仿宋_GB2312"/>
          <w:sz w:val="32"/>
          <w:szCs w:val="32"/>
        </w:rPr>
        <w:t>顺利实施。</w:t>
      </w:r>
    </w:p>
    <w:p>
      <w:pPr>
        <w:keepNext w:val="0"/>
        <w:keepLines w:val="0"/>
        <w:pageBreakBefore w:val="0"/>
        <w:widowControl w:val="0"/>
        <w:kinsoku/>
        <w:wordWrap/>
        <w:overflowPunct/>
        <w:topLinePunct w:val="0"/>
        <w:autoSpaceDE/>
        <w:autoSpaceDN/>
        <w:bidi w:val="0"/>
        <w:spacing w:line="61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1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1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1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1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10" w:lineRule="exact"/>
        <w:textAlignment w:val="auto"/>
        <w:rPr>
          <w:rFonts w:hint="eastAsia" w:ascii="黑体" w:hAnsi="黑体" w:eastAsia="黑体" w:cs="黑体"/>
          <w:sz w:val="32"/>
          <w:szCs w:val="32"/>
          <w:lang w:eastAsia="zh-CN"/>
        </w:rPr>
        <w:sectPr>
          <w:footerReference r:id="rId3" w:type="default"/>
          <w:pgSz w:w="11906" w:h="16838"/>
          <w:pgMar w:top="1984" w:right="1417" w:bottom="1417" w:left="1417" w:header="851" w:footer="992" w:gutter="0"/>
          <w:pgNumType w:fmt="numberInDash" w:start="1"/>
          <w:cols w:space="720" w:num="1"/>
          <w:docGrid w:type="lines" w:linePitch="312" w:charSpace="0"/>
        </w:sectPr>
      </w:pPr>
    </w:p>
    <w:p>
      <w:pPr>
        <w:keepNext w:val="0"/>
        <w:keepLines w:val="0"/>
        <w:pageBreakBefore w:val="0"/>
        <w:widowControl w:val="0"/>
        <w:kinsoku/>
        <w:wordWrap/>
        <w:overflowPunct/>
        <w:topLinePunct w:val="0"/>
        <w:autoSpaceDE/>
        <w:autoSpaceDN/>
        <w:bidi w:val="0"/>
        <w:spacing w:line="61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tbl>
      <w:tblPr>
        <w:tblStyle w:val="9"/>
        <w:tblW w:w="142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0"/>
        <w:gridCol w:w="1082"/>
        <w:gridCol w:w="1298"/>
        <w:gridCol w:w="2126"/>
        <w:gridCol w:w="1294"/>
        <w:gridCol w:w="1500"/>
        <w:gridCol w:w="1020"/>
        <w:gridCol w:w="1620"/>
        <w:gridCol w:w="3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14272"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昌黎县西热东输项目计划安排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阶段</w:t>
            </w:r>
          </w:p>
        </w:tc>
        <w:tc>
          <w:tcPr>
            <w:tcW w:w="12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事项</w:t>
            </w: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主要工作内容</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开始时间</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所需时间（天）</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结束时间</w:t>
            </w:r>
          </w:p>
        </w:tc>
        <w:tc>
          <w:tcPr>
            <w:tcW w:w="3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0" w:hRule="atLeast"/>
        </w:trPr>
        <w:tc>
          <w:tcPr>
            <w:tcW w:w="78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2380" w:type="dxa"/>
            <w:gridSpan w:val="2"/>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热源保障阶段</w:t>
            </w: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由热源保障专项组与安丰、宏兴两家钢铁企业对接，确定钢厂供热能力、供热价格，督促两家钢铁企业厂区内部换热首站及管网建设，确定供热管道接口位置，确保项目管道如期对接并保质保量提供热源</w:t>
            </w:r>
          </w:p>
        </w:tc>
        <w:tc>
          <w:tcPr>
            <w:tcW w:w="150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2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62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2022年5月15日</w:t>
            </w:r>
          </w:p>
        </w:tc>
        <w:tc>
          <w:tcPr>
            <w:tcW w:w="3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78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w:t>
            </w:r>
          </w:p>
        </w:tc>
        <w:tc>
          <w:tcPr>
            <w:tcW w:w="2380" w:type="dxa"/>
            <w:gridSpan w:val="2"/>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资产注入阶段</w:t>
            </w: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由资产注入专项组负责，县国资部门牵头，原资产管理单位及资源规划、税务、城发公司等部门各司其职、全力配合，完成县城发公司资产注入工作</w:t>
            </w:r>
          </w:p>
        </w:tc>
        <w:tc>
          <w:tcPr>
            <w:tcW w:w="150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2022年4月底</w:t>
            </w:r>
          </w:p>
        </w:tc>
        <w:tc>
          <w:tcPr>
            <w:tcW w:w="102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62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2022年12月底</w:t>
            </w:r>
          </w:p>
        </w:tc>
        <w:tc>
          <w:tcPr>
            <w:tcW w:w="3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78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w:t>
            </w:r>
          </w:p>
        </w:tc>
        <w:tc>
          <w:tcPr>
            <w:tcW w:w="2380" w:type="dxa"/>
            <w:gridSpan w:val="2"/>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相关手续办理及开工建设阶段</w:t>
            </w: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项目用地手续、前期立项及工程规划、施工许可等相关施工前手续的办理，项目开工建设并完成试运行</w:t>
            </w:r>
          </w:p>
        </w:tc>
        <w:tc>
          <w:tcPr>
            <w:tcW w:w="150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2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62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780"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2"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立项阶段</w:t>
            </w:r>
          </w:p>
        </w:tc>
        <w:tc>
          <w:tcPr>
            <w:tcW w:w="1298"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土地手续相关</w:t>
            </w: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沿线路由确定及测绘</w:t>
            </w:r>
          </w:p>
        </w:tc>
        <w:tc>
          <w:tcPr>
            <w:tcW w:w="150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进行中</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剩余21天</w:t>
            </w:r>
          </w:p>
        </w:tc>
        <w:tc>
          <w:tcPr>
            <w:tcW w:w="162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2022年4月28日</w:t>
            </w:r>
          </w:p>
        </w:tc>
        <w:tc>
          <w:tcPr>
            <w:tcW w:w="3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780"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立项办理</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国土及规划部门初步意见</w:t>
            </w:r>
          </w:p>
        </w:tc>
        <w:tc>
          <w:tcPr>
            <w:tcW w:w="12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可同步开展</w:t>
            </w:r>
          </w:p>
        </w:tc>
        <w:tc>
          <w:tcPr>
            <w:tcW w:w="15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进行中</w:t>
            </w:r>
          </w:p>
        </w:tc>
        <w:tc>
          <w:tcPr>
            <w:tcW w:w="10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剩余21天</w:t>
            </w:r>
          </w:p>
        </w:tc>
        <w:tc>
          <w:tcPr>
            <w:tcW w:w="16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2022年4月28日</w:t>
            </w:r>
          </w:p>
        </w:tc>
        <w:tc>
          <w:tcPr>
            <w:tcW w:w="3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需提前沟通资源规划局。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1" w:hRule="atLeast"/>
        </w:trPr>
        <w:tc>
          <w:tcPr>
            <w:tcW w:w="780"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社会稳定风险编制与评估</w:t>
            </w:r>
          </w:p>
        </w:tc>
        <w:tc>
          <w:tcPr>
            <w:tcW w:w="12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走访调查工作量大，且容易提前暴露路由，影响后期征收，看是否可以协调容后办理，别耽误项目立项。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80"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pacing w:val="-11"/>
                <w:kern w:val="0"/>
                <w:sz w:val="18"/>
                <w:szCs w:val="18"/>
                <w:u w:val="none"/>
                <w:lang w:val="en-US" w:eastAsia="zh-CN" w:bidi="ar"/>
              </w:rPr>
              <w:t>咨询单位编写项目立项报告</w:t>
            </w:r>
          </w:p>
        </w:tc>
        <w:tc>
          <w:tcPr>
            <w:tcW w:w="12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80"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立项手续申报，批准后领证</w:t>
            </w:r>
          </w:p>
        </w:tc>
        <w:tc>
          <w:tcPr>
            <w:tcW w:w="15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含可研评审，修改时间。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80"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用地规划办理</w:t>
            </w: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组卷申报用地规划资料，待批复后取得建设用地规划许可证</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2022年4月29日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2022年5月31日</w:t>
            </w:r>
          </w:p>
        </w:tc>
        <w:tc>
          <w:tcPr>
            <w:tcW w:w="3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土地手续确定后办理，工程许可证阶段前完成。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78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初步设计阶段</w:t>
            </w:r>
          </w:p>
        </w:tc>
        <w:tc>
          <w:tcPr>
            <w:tcW w:w="1298"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地质勘查</w:t>
            </w: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地勘单位招标确定</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2022年6月1日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2022年6月27日</w:t>
            </w:r>
          </w:p>
        </w:tc>
        <w:tc>
          <w:tcPr>
            <w:tcW w:w="3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提前沟通招标参数及编制招标文件，立项批复下达后开展招标工作。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7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开展勘察工作，出具地勘报告</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2022年6月28日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2022年7月28日</w:t>
            </w:r>
          </w:p>
        </w:tc>
        <w:tc>
          <w:tcPr>
            <w:tcW w:w="3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不考虑提前介入，正常开展。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方案设计</w:t>
            </w: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初步设计单位的招标</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2022年7月29日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2022年8月23日</w:t>
            </w:r>
          </w:p>
        </w:tc>
        <w:tc>
          <w:tcPr>
            <w:tcW w:w="3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设计招标的前提需要地勘报告。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方案设计</w:t>
            </w:r>
          </w:p>
        </w:tc>
        <w:tc>
          <w:tcPr>
            <w:tcW w:w="15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2022年8月24日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6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2022年9月19日</w:t>
            </w:r>
          </w:p>
        </w:tc>
        <w:tc>
          <w:tcPr>
            <w:tcW w:w="35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可提前沟通规划部门，该项审查是否有必要（经了解有的县区此阶段审批程序相对简化）。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7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方案会审：递交方案册及要求文件报规划局审核；相关部门联审</w:t>
            </w:r>
          </w:p>
        </w:tc>
        <w:tc>
          <w:tcPr>
            <w:tcW w:w="15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6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7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工程规划许可办理</w:t>
            </w: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联审通过后，进行项目公示</w:t>
            </w:r>
          </w:p>
        </w:tc>
        <w:tc>
          <w:tcPr>
            <w:tcW w:w="15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2022年9月19日</w:t>
            </w:r>
          </w:p>
        </w:tc>
        <w:tc>
          <w:tcPr>
            <w:tcW w:w="10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6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2022年10月9日</w:t>
            </w:r>
          </w:p>
        </w:tc>
        <w:tc>
          <w:tcPr>
            <w:tcW w:w="35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公示期需10个工作日。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7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公示期后，组卷上报规划局，取得工程规划许可证</w:t>
            </w:r>
          </w:p>
        </w:tc>
        <w:tc>
          <w:tcPr>
            <w:tcW w:w="15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初步设计及概算</w:t>
            </w: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进行初步设计</w:t>
            </w:r>
          </w:p>
        </w:tc>
        <w:tc>
          <w:tcPr>
            <w:tcW w:w="15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2022年8月24日</w:t>
            </w:r>
          </w:p>
        </w:tc>
        <w:tc>
          <w:tcPr>
            <w:tcW w:w="10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6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2022年9月13日</w:t>
            </w:r>
          </w:p>
        </w:tc>
        <w:tc>
          <w:tcPr>
            <w:tcW w:w="35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含初步设计评审时间、修改意见。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7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编制投资概算</w:t>
            </w:r>
          </w:p>
        </w:tc>
        <w:tc>
          <w:tcPr>
            <w:tcW w:w="15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初步设计评审，并取得批复</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2022年9月14日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2022年9月27日</w:t>
            </w:r>
          </w:p>
        </w:tc>
        <w:tc>
          <w:tcPr>
            <w:tcW w:w="355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需开评审会并修改专家意见。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委托财政局对概算进行评审</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2022年9月28日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2022年10月24日</w:t>
            </w:r>
          </w:p>
        </w:tc>
        <w:tc>
          <w:tcPr>
            <w:tcW w:w="3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委托财政</w:t>
            </w:r>
            <w:bookmarkStart w:id="6" w:name="_GoBack"/>
            <w:bookmarkEnd w:id="6"/>
            <w:r>
              <w:rPr>
                <w:rFonts w:hint="eastAsia" w:ascii="宋体" w:hAnsi="宋体" w:eastAsia="宋体" w:cs="宋体"/>
                <w:i w:val="0"/>
                <w:color w:val="000000"/>
                <w:kern w:val="0"/>
                <w:sz w:val="18"/>
                <w:szCs w:val="18"/>
                <w:u w:val="none"/>
                <w:lang w:val="en-US" w:eastAsia="zh-CN" w:bidi="ar"/>
              </w:rPr>
              <w:t>局对概算进行评审。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78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82"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招投标阶段</w:t>
            </w:r>
          </w:p>
        </w:tc>
        <w:tc>
          <w:tcPr>
            <w:tcW w:w="1298"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项目招投标</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监理招标</w:t>
            </w:r>
          </w:p>
        </w:tc>
        <w:tc>
          <w:tcPr>
            <w:tcW w:w="12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可同步开展</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2022年10月25日</w:t>
            </w:r>
          </w:p>
        </w:tc>
        <w:tc>
          <w:tcPr>
            <w:tcW w:w="10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2022年11月24日</w:t>
            </w:r>
          </w:p>
        </w:tc>
        <w:tc>
          <w:tcPr>
            <w:tcW w:w="3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常规总耗时30天，可提前准备工作提前到25天。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7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EPC工程总承包招标</w:t>
            </w:r>
          </w:p>
        </w:tc>
        <w:tc>
          <w:tcPr>
            <w:tcW w:w="12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2022年10月26日</w:t>
            </w:r>
          </w:p>
        </w:tc>
        <w:tc>
          <w:tcPr>
            <w:tcW w:w="10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2022年11月25日</w:t>
            </w:r>
          </w:p>
        </w:tc>
        <w:tc>
          <w:tcPr>
            <w:tcW w:w="3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常规总耗时30天，可提前准备工作提前到25天。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7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实施阶段</w:t>
            </w: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施工图设计及图审</w:t>
            </w: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施工图设计</w:t>
            </w:r>
          </w:p>
        </w:tc>
        <w:tc>
          <w:tcPr>
            <w:tcW w:w="15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2022年11月26日</w:t>
            </w:r>
          </w:p>
        </w:tc>
        <w:tc>
          <w:tcPr>
            <w:tcW w:w="10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6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2022年12月22日</w:t>
            </w:r>
          </w:p>
        </w:tc>
        <w:tc>
          <w:tcPr>
            <w:tcW w:w="3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在初步设计评审阶段，施工图可同步进行。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7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施工图审查</w:t>
            </w:r>
          </w:p>
        </w:tc>
        <w:tc>
          <w:tcPr>
            <w:tcW w:w="15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需要严格控制审查时间，加强衔接。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施工许可证办理</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质检备案</w:t>
            </w:r>
          </w:p>
        </w:tc>
        <w:tc>
          <w:tcPr>
            <w:tcW w:w="129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可同步开展</w:t>
            </w:r>
          </w:p>
        </w:tc>
        <w:tc>
          <w:tcPr>
            <w:tcW w:w="15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2022年12月23日</w:t>
            </w:r>
          </w:p>
        </w:tc>
        <w:tc>
          <w:tcPr>
            <w:tcW w:w="10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2023年1月2日</w:t>
            </w:r>
          </w:p>
        </w:tc>
        <w:tc>
          <w:tcPr>
            <w:tcW w:w="35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该阶段可协商边开工入场边办理。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安监备案</w:t>
            </w:r>
          </w:p>
        </w:tc>
        <w:tc>
          <w:tcPr>
            <w:tcW w:w="129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组卷上报，取得施工许可证</w:t>
            </w:r>
          </w:p>
        </w:tc>
        <w:tc>
          <w:tcPr>
            <w:tcW w:w="15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7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项目施工</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安丰至工业园区DN900钢管28km直埋敷设工期157天。（关键节点）</w:t>
            </w:r>
          </w:p>
        </w:tc>
        <w:tc>
          <w:tcPr>
            <w:tcW w:w="12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可同步开展</w:t>
            </w:r>
          </w:p>
        </w:tc>
        <w:tc>
          <w:tcPr>
            <w:tcW w:w="15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2023年1月3日</w:t>
            </w:r>
          </w:p>
        </w:tc>
        <w:tc>
          <w:tcPr>
            <w:tcW w:w="10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201+60（冬季停工）</w:t>
            </w:r>
          </w:p>
        </w:tc>
        <w:tc>
          <w:tcPr>
            <w:tcW w:w="162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2023年9月21日</w:t>
            </w:r>
          </w:p>
        </w:tc>
        <w:tc>
          <w:tcPr>
            <w:tcW w:w="35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额工期201天；一般气温连续5天低于5℃即进入冬季施工期，秦皇岛地区一般于第二年3月15日左右复工。冬季施工在有效的施工措施的保障下可以开展，但会相应增加工程造价，增加投资。根据此项目实际情况考虑，主要为挖填土方工程和管道安装，冻土的回填和管道焊接均会影响工程质量，所以不建议冬季施工，暂考虑冬季停工时长60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宏兴至安丰DN450钢管7km直埋敷设工期133天，可与主管道同时进行</w:t>
            </w:r>
          </w:p>
        </w:tc>
        <w:tc>
          <w:tcPr>
            <w:tcW w:w="12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7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顶管按400米长度计：100天，可与钢管直埋敷设同时进行。</w:t>
            </w:r>
          </w:p>
        </w:tc>
        <w:tc>
          <w:tcPr>
            <w:tcW w:w="12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7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中继泵站建设1770平方米框排架结构，工期184天，可与钢管直埋敷设同时进行。</w:t>
            </w:r>
          </w:p>
        </w:tc>
        <w:tc>
          <w:tcPr>
            <w:tcW w:w="12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5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试运行阶段</w:t>
            </w:r>
          </w:p>
        </w:tc>
        <w:tc>
          <w:tcPr>
            <w:tcW w:w="12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联合试运行</w:t>
            </w: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项目整体试运行，问题整改</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2023年9月22日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2023年10月7日</w:t>
            </w:r>
          </w:p>
        </w:tc>
        <w:tc>
          <w:tcPr>
            <w:tcW w:w="3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0" w:hRule="atLeast"/>
        </w:trPr>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四</w:t>
            </w:r>
          </w:p>
        </w:tc>
        <w:tc>
          <w:tcPr>
            <w:tcW w:w="23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资金保障</w:t>
            </w: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由资金保障专项组与县农发行沟通对接，商榷融资抵押、担保、项目资本金等具体事宜，按照金融部门要求完善相关手续，并争取市农发行、省农发行的指导和支持，全力推进项目融资工作。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五</w:t>
            </w:r>
          </w:p>
        </w:tc>
        <w:tc>
          <w:tcPr>
            <w:tcW w:w="23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租金确定</w:t>
            </w: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由租金确定专项组负责，县财政局牵头，研究租赁协议、租金金额级资金来源渠道，项目完成后，计划由县热力公司租赁建设管网。</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六</w:t>
            </w:r>
          </w:p>
        </w:tc>
        <w:tc>
          <w:tcPr>
            <w:tcW w:w="23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征（占)地补偿</w:t>
            </w:r>
          </w:p>
        </w:tc>
        <w:tc>
          <w:tcPr>
            <w:tcW w:w="34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县资源规划局牵头负责中继泵站征地补偿方案及施工临时占地补偿方案的制定。涉及的各部门及乡镇，及时办理用地手续及补偿工作。</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bl>
    <w:p>
      <w:pPr>
        <w:keepNext w:val="0"/>
        <w:keepLines w:val="0"/>
        <w:pageBreakBefore w:val="0"/>
        <w:widowControl w:val="0"/>
        <w:kinsoku/>
        <w:wordWrap/>
        <w:overflowPunct/>
        <w:topLinePunct w:val="0"/>
        <w:autoSpaceDE/>
        <w:autoSpaceDN/>
        <w:bidi w:val="0"/>
        <w:spacing w:line="610" w:lineRule="exact"/>
        <w:textAlignment w:val="auto"/>
        <w:rPr>
          <w:rFonts w:hint="default" w:ascii="黑体" w:hAnsi="黑体" w:eastAsia="黑体" w:cs="黑体"/>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仿宋_GB2312" w:hAnsi="Times New Roman" w:eastAsia="仿宋_GB2312" w:cs="仿宋_GB2312"/>
          <w:sz w:val="32"/>
          <w:szCs w:val="32"/>
          <w:lang w:val="en-US" w:eastAsia="zh-CN"/>
        </w:rPr>
      </w:pPr>
    </w:p>
    <w:sectPr>
      <w:footerReference r:id="rId4" w:type="default"/>
      <w:pgSz w:w="16838" w:h="11906" w:orient="landscape"/>
      <w:pgMar w:top="1417" w:right="1984" w:bottom="1417"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A5B39"/>
    <w:rsid w:val="01F9362E"/>
    <w:rsid w:val="089D7130"/>
    <w:rsid w:val="0B1A7CA4"/>
    <w:rsid w:val="0C253D53"/>
    <w:rsid w:val="11F8168B"/>
    <w:rsid w:val="121E416C"/>
    <w:rsid w:val="176E0132"/>
    <w:rsid w:val="1A3D6C62"/>
    <w:rsid w:val="1AD074AB"/>
    <w:rsid w:val="1F7E4910"/>
    <w:rsid w:val="20504616"/>
    <w:rsid w:val="28C70E69"/>
    <w:rsid w:val="2D9F7A96"/>
    <w:rsid w:val="2F3D718D"/>
    <w:rsid w:val="3C82173E"/>
    <w:rsid w:val="3DDABBCF"/>
    <w:rsid w:val="3FF5BD75"/>
    <w:rsid w:val="42ED3622"/>
    <w:rsid w:val="4B33273B"/>
    <w:rsid w:val="4C0E7CC2"/>
    <w:rsid w:val="4DD354CC"/>
    <w:rsid w:val="5DFC805B"/>
    <w:rsid w:val="5EAE42CA"/>
    <w:rsid w:val="5EBF1555"/>
    <w:rsid w:val="6792778B"/>
    <w:rsid w:val="67E72150"/>
    <w:rsid w:val="6DBBEAC0"/>
    <w:rsid w:val="6E3F57F5"/>
    <w:rsid w:val="729239DE"/>
    <w:rsid w:val="73130D87"/>
    <w:rsid w:val="75D70E2B"/>
    <w:rsid w:val="75DA5B39"/>
    <w:rsid w:val="760C6F86"/>
    <w:rsid w:val="76D4535A"/>
    <w:rsid w:val="77BC74F3"/>
    <w:rsid w:val="7FBF200D"/>
    <w:rsid w:val="9FFD217C"/>
    <w:rsid w:val="B77D7BF4"/>
    <w:rsid w:val="B7AABBC7"/>
    <w:rsid w:val="BFFE4EB4"/>
    <w:rsid w:val="DBFF5528"/>
    <w:rsid w:val="EEEE5D6C"/>
    <w:rsid w:val="F5F077A5"/>
    <w:rsid w:val="F7B80DEC"/>
    <w:rsid w:val="FABECEA7"/>
    <w:rsid w:val="FBF75CF2"/>
    <w:rsid w:val="FFFB9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仿宋_GB2312" w:cs="Times New Roman"/>
    </w:rPr>
  </w:style>
  <w:style w:type="paragraph" w:styleId="3">
    <w:name w:val="Body Text 2"/>
    <w:basedOn w:val="1"/>
    <w:unhideWhenUsed/>
    <w:qFormat/>
    <w:uiPriority w:val="0"/>
    <w:pPr>
      <w:spacing w:after="120" w:line="480" w:lineRule="auto"/>
    </w:pPr>
    <w:rPr>
      <w:rFonts w:hint="default"/>
      <w:sz w:val="24"/>
      <w:szCs w:val="24"/>
    </w:rPr>
  </w:style>
  <w:style w:type="paragraph" w:styleId="4">
    <w:name w:val="Body Text Indent"/>
    <w:basedOn w:val="1"/>
    <w:next w:val="5"/>
    <w:qFormat/>
    <w:uiPriority w:val="0"/>
    <w:pPr>
      <w:ind w:firstLine="630"/>
    </w:pPr>
    <w:rPr>
      <w:rFonts w:ascii="仿宋_GB2312" w:eastAsia="仿宋_GB2312"/>
      <w:sz w:val="32"/>
    </w:rPr>
  </w:style>
  <w:style w:type="paragraph" w:styleId="5">
    <w:name w:val="Body Text First Indent 2"/>
    <w:basedOn w:val="4"/>
    <w:next w:val="1"/>
    <w:qFormat/>
    <w:uiPriority w:val="0"/>
    <w:pPr>
      <w:ind w:firstLine="20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4181</Words>
  <Characters>4473</Characters>
  <Lines>0</Lines>
  <Paragraphs>0</Paragraphs>
  <TotalTime>5</TotalTime>
  <ScaleCrop>false</ScaleCrop>
  <LinksUpToDate>false</LinksUpToDate>
  <CharactersWithSpaces>5044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2023-02-17T03:04:00Z</dcterms:created>
  <dc:creator>user</dc:creator>
  <cp:lastModifiedBy>Administrator</cp:lastModifiedBy>
  <cp:lastPrinted>2025-07-01T01:25:00Z</cp:lastPrinted>
  <dcterms:modified xsi:type="dcterms:W3CDTF">2026-04-29T08:20:45Z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8530142F8D754CEC9003560EBD076DA3_12</vt:lpwstr>
  </property>
</Properties>
</file>