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昌黎县生态保护服务中心  </w:t>
      </w:r>
    </w:p>
    <w:p>
      <w:pPr>
        <w:spacing w:before="0" w:after="0" w:line="240" w:lineRule="auto"/>
        <w:ind w:firstLine="0"/>
        <w:jc w:val="center"/>
        <w:outlineLvl w:val="9"/>
        <w:rPr>
          <w:rFonts w:hint="eastAsia" w:ascii="黑体" w:hAnsi="黑体" w:eastAsia="黑体" w:cs="黑体"/>
          <w:b/>
          <w:color w:val="000000"/>
          <w:sz w:val="30"/>
          <w:lang w:val="en-US" w:eastAsia="zh-CN"/>
        </w:rPr>
      </w:pPr>
      <w:r>
        <w:rPr>
          <w:rFonts w:hint="eastAsia" w:ascii="黑体" w:hAnsi="黑体" w:eastAsia="黑体" w:cs="黑体"/>
          <w:b/>
          <w:color w:val="000000"/>
          <w:sz w:val="30"/>
          <w:lang w:val="en-US" w:eastAsia="zh-CN"/>
        </w:rPr>
        <w:t>2023年</w:t>
      </w:r>
      <w:r>
        <w:rPr>
          <w:rFonts w:ascii="黑体" w:hAnsi="黑体" w:eastAsia="黑体" w:cs="黑体"/>
          <w:b/>
          <w:color w:val="000000"/>
          <w:sz w:val="30"/>
        </w:rPr>
        <w:t>部门所属单位预算</w:t>
      </w:r>
      <w:r>
        <w:rPr>
          <w:rFonts w:hint="eastAsia" w:ascii="黑体" w:hAnsi="黑体" w:eastAsia="黑体" w:cs="黑体"/>
          <w:b/>
          <w:color w:val="000000"/>
          <w:sz w:val="30"/>
          <w:lang w:val="en-US" w:eastAsia="zh-CN"/>
        </w:rPr>
        <w:t>信息公开</w:t>
      </w:r>
    </w:p>
    <w:p>
      <w:pPr>
        <w:spacing w:before="0" w:after="0" w:line="240" w:lineRule="auto"/>
        <w:ind w:firstLine="0"/>
        <w:jc w:val="center"/>
        <w:outlineLvl w:val="9"/>
        <w:rPr>
          <w:rFonts w:hint="default" w:ascii="黑体" w:hAnsi="黑体" w:eastAsia="黑体" w:cs="黑体"/>
          <w:b/>
          <w:color w:val="000000"/>
          <w:sz w:val="30"/>
          <w:lang w:val="en-US" w:eastAsia="zh-CN"/>
        </w:rPr>
      </w:pPr>
      <w:r>
        <w:rPr>
          <w:rFonts w:hint="eastAsia" w:ascii="黑体" w:hAnsi="黑体" w:eastAsia="黑体" w:cs="黑体"/>
          <w:b/>
          <w:color w:val="000000"/>
          <w:sz w:val="30"/>
          <w:lang w:val="en-US" w:eastAsia="zh-CN"/>
        </w:rPr>
        <w:t>目录</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一、昌黎县生态保护服务中心本级收支预算</w:t>
      </w:r>
      <w:r>
        <w:tab/>
      </w:r>
      <w:r>
        <w:fldChar w:fldCharType="begin"/>
      </w:r>
      <w:r>
        <w:instrText xml:space="preserve">PAGEREF _Toc_4_4_0000000019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一、昌黎县生态保护服务中心本级收支预算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5447.54</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5444.16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5447.54</w:t>
            </w:r>
          </w:p>
        </w:tc>
        <w:tc>
          <w:tcPr>
            <w:tcW w:w="4535" w:type="dxa"/>
            <w:vAlign w:val="center"/>
          </w:tcPr>
          <w:p>
            <w:pPr>
              <w:pStyle w:val="16"/>
            </w:pPr>
            <w:r>
              <w:t>本年支出合计</w:t>
            </w:r>
          </w:p>
        </w:tc>
        <w:tc>
          <w:tcPr>
            <w:tcW w:w="2126" w:type="dxa"/>
            <w:vAlign w:val="center"/>
          </w:tcPr>
          <w:p>
            <w:pPr>
              <w:pStyle w:val="17"/>
            </w:pPr>
            <w:r>
              <w:t>5447.54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5447.54</w:t>
            </w:r>
          </w:p>
        </w:tc>
        <w:tc>
          <w:tcPr>
            <w:tcW w:w="4535" w:type="dxa"/>
            <w:vAlign w:val="center"/>
          </w:tcPr>
          <w:p>
            <w:pPr>
              <w:pStyle w:val="16"/>
            </w:pPr>
            <w:r>
              <w:t>支出总计</w:t>
            </w:r>
          </w:p>
        </w:tc>
        <w:tc>
          <w:tcPr>
            <w:tcW w:w="2126" w:type="dxa"/>
            <w:vAlign w:val="center"/>
          </w:tcPr>
          <w:p>
            <w:pPr>
              <w:pStyle w:val="17"/>
            </w:pPr>
            <w:r>
              <w:t>5447.54</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5447.54</w:t>
            </w:r>
          </w:p>
        </w:tc>
        <w:tc>
          <w:tcPr>
            <w:tcW w:w="1134" w:type="dxa"/>
            <w:vAlign w:val="center"/>
          </w:tcPr>
          <w:p>
            <w:pPr>
              <w:pStyle w:val="17"/>
            </w:pPr>
            <w:r>
              <w:t>5447.54</w:t>
            </w:r>
          </w:p>
        </w:tc>
        <w:tc>
          <w:tcPr>
            <w:tcW w:w="1134" w:type="dxa"/>
            <w:vAlign w:val="center"/>
          </w:tcPr>
          <w:p>
            <w:pPr>
              <w:pStyle w:val="17"/>
            </w:pPr>
            <w:r>
              <w:t>5447.54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5444.16</w:t>
            </w:r>
          </w:p>
        </w:tc>
        <w:tc>
          <w:tcPr>
            <w:tcW w:w="1134" w:type="dxa"/>
            <w:vAlign w:val="center"/>
          </w:tcPr>
          <w:p>
            <w:pPr>
              <w:pStyle w:val="13"/>
            </w:pPr>
            <w:r>
              <w:t>5444.16</w:t>
            </w:r>
          </w:p>
        </w:tc>
        <w:tc>
          <w:tcPr>
            <w:tcW w:w="1134" w:type="dxa"/>
            <w:vAlign w:val="center"/>
          </w:tcPr>
          <w:p>
            <w:pPr>
              <w:pStyle w:val="13"/>
            </w:pPr>
            <w:r>
              <w:t>5444.16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2110199</w:t>
            </w:r>
          </w:p>
        </w:tc>
        <w:tc>
          <w:tcPr>
            <w:tcW w:w="1559" w:type="dxa"/>
            <w:vAlign w:val="center"/>
          </w:tcPr>
          <w:p>
            <w:pPr>
              <w:pStyle w:val="14"/>
            </w:pPr>
            <w:r>
              <w:t>其他环境保护管理事务支出</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5447.54</w:t>
            </w:r>
          </w:p>
        </w:tc>
        <w:tc>
          <w:tcPr>
            <w:tcW w:w="1361" w:type="dxa"/>
            <w:vAlign w:val="center"/>
          </w:tcPr>
          <w:p>
            <w:pPr>
              <w:pStyle w:val="17"/>
            </w:pPr>
            <w:r>
              <w:t>114.54</w:t>
            </w:r>
          </w:p>
        </w:tc>
        <w:tc>
          <w:tcPr>
            <w:tcW w:w="1361" w:type="dxa"/>
            <w:vAlign w:val="center"/>
          </w:tcPr>
          <w:p>
            <w:pPr>
              <w:pStyle w:val="17"/>
            </w:pPr>
            <w:r>
              <w:t>5333.00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5444.16</w:t>
            </w:r>
          </w:p>
        </w:tc>
        <w:tc>
          <w:tcPr>
            <w:tcW w:w="1361" w:type="dxa"/>
            <w:vAlign w:val="center"/>
          </w:tcPr>
          <w:p>
            <w:pPr>
              <w:pStyle w:val="13"/>
            </w:pPr>
            <w:r>
              <w:t>111.16</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111.16</w:t>
            </w:r>
          </w:p>
        </w:tc>
        <w:tc>
          <w:tcPr>
            <w:tcW w:w="1361" w:type="dxa"/>
            <w:vAlign w:val="center"/>
          </w:tcPr>
          <w:p>
            <w:pPr>
              <w:pStyle w:val="13"/>
            </w:pPr>
            <w:r>
              <w:t>111.16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2110199</w:t>
            </w:r>
          </w:p>
        </w:tc>
        <w:tc>
          <w:tcPr>
            <w:tcW w:w="4535" w:type="dxa"/>
            <w:vAlign w:val="center"/>
          </w:tcPr>
          <w:p>
            <w:pPr>
              <w:pStyle w:val="14"/>
            </w:pPr>
            <w:r>
              <w:t>其他环境保护管理事务支出</w:t>
            </w:r>
          </w:p>
        </w:tc>
        <w:tc>
          <w:tcPr>
            <w:tcW w:w="1361" w:type="dxa"/>
            <w:vAlign w:val="center"/>
          </w:tcPr>
          <w:p>
            <w:pPr>
              <w:pStyle w:val="13"/>
            </w:pPr>
            <w:r>
              <w:t>111.16</w:t>
            </w:r>
          </w:p>
        </w:tc>
        <w:tc>
          <w:tcPr>
            <w:tcW w:w="1361" w:type="dxa"/>
            <w:vAlign w:val="center"/>
          </w:tcPr>
          <w:p>
            <w:pPr>
              <w:pStyle w:val="13"/>
            </w:pPr>
            <w:r>
              <w:t>111.16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5447.54</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3.38</w:t>
            </w:r>
          </w:p>
        </w:tc>
        <w:tc>
          <w:tcPr>
            <w:tcW w:w="1474" w:type="dxa"/>
            <w:vAlign w:val="center"/>
          </w:tcPr>
          <w:p>
            <w:pPr>
              <w:pStyle w:val="13"/>
            </w:pPr>
            <w:r>
              <w:t>3.38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5444.16</w:t>
            </w:r>
          </w:p>
        </w:tc>
        <w:tc>
          <w:tcPr>
            <w:tcW w:w="1474" w:type="dxa"/>
            <w:vAlign w:val="center"/>
          </w:tcPr>
          <w:p>
            <w:pPr>
              <w:pStyle w:val="13"/>
            </w:pPr>
            <w:r>
              <w:t>5444.16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5447.54</w:t>
            </w:r>
          </w:p>
        </w:tc>
        <w:tc>
          <w:tcPr>
            <w:tcW w:w="3402" w:type="dxa"/>
            <w:vAlign w:val="center"/>
          </w:tcPr>
          <w:p>
            <w:pPr>
              <w:pStyle w:val="16"/>
            </w:pPr>
            <w:r>
              <w:t>本年支出合计</w:t>
            </w:r>
          </w:p>
        </w:tc>
        <w:tc>
          <w:tcPr>
            <w:tcW w:w="1474" w:type="dxa"/>
            <w:vAlign w:val="center"/>
          </w:tcPr>
          <w:p>
            <w:pPr>
              <w:pStyle w:val="17"/>
            </w:pPr>
            <w:r>
              <w:t>5447.54</w:t>
            </w:r>
          </w:p>
        </w:tc>
        <w:tc>
          <w:tcPr>
            <w:tcW w:w="1474" w:type="dxa"/>
            <w:vAlign w:val="center"/>
          </w:tcPr>
          <w:p>
            <w:pPr>
              <w:pStyle w:val="17"/>
            </w:pPr>
            <w:r>
              <w:t>5447.54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5447.54</w:t>
            </w:r>
          </w:p>
        </w:tc>
        <w:tc>
          <w:tcPr>
            <w:tcW w:w="3402" w:type="dxa"/>
            <w:vAlign w:val="center"/>
          </w:tcPr>
          <w:p>
            <w:pPr>
              <w:pStyle w:val="16"/>
            </w:pPr>
            <w:r>
              <w:t>支出总计</w:t>
            </w:r>
          </w:p>
        </w:tc>
        <w:tc>
          <w:tcPr>
            <w:tcW w:w="1474" w:type="dxa"/>
            <w:vAlign w:val="center"/>
          </w:tcPr>
          <w:p>
            <w:pPr>
              <w:pStyle w:val="17"/>
            </w:pPr>
            <w:r>
              <w:t>5447.54</w:t>
            </w:r>
          </w:p>
        </w:tc>
        <w:tc>
          <w:tcPr>
            <w:tcW w:w="1474" w:type="dxa"/>
            <w:vAlign w:val="center"/>
          </w:tcPr>
          <w:p>
            <w:pPr>
              <w:pStyle w:val="17"/>
            </w:pPr>
            <w:r>
              <w:t>5447.54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5447.54</w:t>
            </w:r>
          </w:p>
        </w:tc>
        <w:tc>
          <w:tcPr>
            <w:tcW w:w="2551" w:type="dxa"/>
            <w:vAlign w:val="center"/>
          </w:tcPr>
          <w:p>
            <w:pPr>
              <w:pStyle w:val="17"/>
            </w:pPr>
            <w:r>
              <w:t>114.54</w:t>
            </w:r>
          </w:p>
        </w:tc>
        <w:tc>
          <w:tcPr>
            <w:tcW w:w="2551" w:type="dxa"/>
            <w:vAlign w:val="center"/>
          </w:tcPr>
          <w:p>
            <w:pPr>
              <w:pStyle w:val="17"/>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5444.16</w:t>
            </w:r>
          </w:p>
        </w:tc>
        <w:tc>
          <w:tcPr>
            <w:tcW w:w="2551" w:type="dxa"/>
            <w:vAlign w:val="center"/>
          </w:tcPr>
          <w:p>
            <w:pPr>
              <w:pStyle w:val="13"/>
            </w:pPr>
            <w:r>
              <w:t>111.16</w:t>
            </w:r>
          </w:p>
        </w:tc>
        <w:tc>
          <w:tcPr>
            <w:tcW w:w="2551" w:type="dxa"/>
            <w:vAlign w:val="center"/>
          </w:tcPr>
          <w:p>
            <w:pPr>
              <w:pStyle w:val="13"/>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111.16</w:t>
            </w:r>
          </w:p>
        </w:tc>
        <w:tc>
          <w:tcPr>
            <w:tcW w:w="2551" w:type="dxa"/>
            <w:vAlign w:val="center"/>
          </w:tcPr>
          <w:p>
            <w:pPr>
              <w:pStyle w:val="13"/>
            </w:pPr>
            <w:r>
              <w:t>111.16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2110199</w:t>
            </w:r>
          </w:p>
        </w:tc>
        <w:tc>
          <w:tcPr>
            <w:tcW w:w="4535" w:type="dxa"/>
            <w:vAlign w:val="center"/>
          </w:tcPr>
          <w:p>
            <w:pPr>
              <w:pStyle w:val="14"/>
            </w:pPr>
            <w:r>
              <w:t>其他环境保护管理事务支出</w:t>
            </w:r>
          </w:p>
        </w:tc>
        <w:tc>
          <w:tcPr>
            <w:tcW w:w="2551" w:type="dxa"/>
            <w:vAlign w:val="center"/>
          </w:tcPr>
          <w:p>
            <w:pPr>
              <w:pStyle w:val="13"/>
            </w:pPr>
            <w:r>
              <w:t>111.16</w:t>
            </w:r>
          </w:p>
        </w:tc>
        <w:tc>
          <w:tcPr>
            <w:tcW w:w="2551" w:type="dxa"/>
            <w:vAlign w:val="center"/>
          </w:tcPr>
          <w:p>
            <w:pPr>
              <w:pStyle w:val="13"/>
            </w:pPr>
            <w:r>
              <w:t>111.16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5333.00</w:t>
            </w:r>
          </w:p>
        </w:tc>
        <w:tc>
          <w:tcPr>
            <w:tcW w:w="2551" w:type="dxa"/>
            <w:vAlign w:val="center"/>
          </w:tcPr>
          <w:p>
            <w:pPr>
              <w:pStyle w:val="13"/>
            </w:pPr>
          </w:p>
        </w:tc>
        <w:tc>
          <w:tcPr>
            <w:tcW w:w="2551" w:type="dxa"/>
            <w:vAlign w:val="center"/>
          </w:tcPr>
          <w:p>
            <w:pPr>
              <w:pStyle w:val="13"/>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5333.00</w:t>
            </w:r>
          </w:p>
        </w:tc>
        <w:tc>
          <w:tcPr>
            <w:tcW w:w="2551" w:type="dxa"/>
            <w:vAlign w:val="center"/>
          </w:tcPr>
          <w:p>
            <w:pPr>
              <w:pStyle w:val="13"/>
            </w:pPr>
          </w:p>
        </w:tc>
        <w:tc>
          <w:tcPr>
            <w:tcW w:w="2551" w:type="dxa"/>
            <w:vAlign w:val="center"/>
          </w:tcPr>
          <w:p>
            <w:pPr>
              <w:pStyle w:val="13"/>
            </w:pPr>
            <w:r>
              <w:t>5333.00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114.54</w:t>
            </w:r>
          </w:p>
        </w:tc>
        <w:tc>
          <w:tcPr>
            <w:tcW w:w="2551" w:type="dxa"/>
            <w:vAlign w:val="center"/>
          </w:tcPr>
          <w:p>
            <w:pPr>
              <w:pStyle w:val="17"/>
            </w:pPr>
            <w:r>
              <w:t>29.47</w:t>
            </w:r>
          </w:p>
        </w:tc>
        <w:tc>
          <w:tcPr>
            <w:tcW w:w="2551" w:type="dxa"/>
            <w:vAlign w:val="center"/>
          </w:tcPr>
          <w:p>
            <w:pPr>
              <w:pStyle w:val="17"/>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29.45</w:t>
            </w:r>
          </w:p>
        </w:tc>
        <w:tc>
          <w:tcPr>
            <w:tcW w:w="2551" w:type="dxa"/>
            <w:vAlign w:val="center"/>
          </w:tcPr>
          <w:p>
            <w:pPr>
              <w:pStyle w:val="13"/>
            </w:pPr>
            <w:r>
              <w:t>29.45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13.70</w:t>
            </w:r>
          </w:p>
        </w:tc>
        <w:tc>
          <w:tcPr>
            <w:tcW w:w="2551" w:type="dxa"/>
            <w:vAlign w:val="center"/>
          </w:tcPr>
          <w:p>
            <w:pPr>
              <w:pStyle w:val="13"/>
            </w:pPr>
            <w:r>
              <w:t>13.70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0.75</w:t>
            </w:r>
          </w:p>
        </w:tc>
        <w:tc>
          <w:tcPr>
            <w:tcW w:w="2551" w:type="dxa"/>
            <w:vAlign w:val="center"/>
          </w:tcPr>
          <w:p>
            <w:pPr>
              <w:pStyle w:val="13"/>
            </w:pPr>
            <w:r>
              <w:t>0.75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5.38</w:t>
            </w:r>
          </w:p>
        </w:tc>
        <w:tc>
          <w:tcPr>
            <w:tcW w:w="2551" w:type="dxa"/>
            <w:vAlign w:val="center"/>
          </w:tcPr>
          <w:p>
            <w:pPr>
              <w:pStyle w:val="13"/>
            </w:pPr>
            <w:r>
              <w:t>5.38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1.92</w:t>
            </w:r>
          </w:p>
        </w:tc>
        <w:tc>
          <w:tcPr>
            <w:tcW w:w="2551" w:type="dxa"/>
            <w:vAlign w:val="center"/>
          </w:tcPr>
          <w:p>
            <w:pPr>
              <w:pStyle w:val="13"/>
            </w:pPr>
            <w:r>
              <w:t>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0.61</w:t>
            </w:r>
          </w:p>
        </w:tc>
        <w:tc>
          <w:tcPr>
            <w:tcW w:w="2551" w:type="dxa"/>
            <w:vAlign w:val="center"/>
          </w:tcPr>
          <w:p>
            <w:pPr>
              <w:pStyle w:val="13"/>
            </w:pPr>
            <w:r>
              <w:t>0.61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1.69</w:t>
            </w:r>
          </w:p>
        </w:tc>
        <w:tc>
          <w:tcPr>
            <w:tcW w:w="2551" w:type="dxa"/>
            <w:vAlign w:val="center"/>
          </w:tcPr>
          <w:p>
            <w:pPr>
              <w:pStyle w:val="13"/>
            </w:pPr>
            <w:r>
              <w:t>1.69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85.07</w:t>
            </w:r>
          </w:p>
        </w:tc>
        <w:tc>
          <w:tcPr>
            <w:tcW w:w="2551" w:type="dxa"/>
            <w:vAlign w:val="center"/>
          </w:tcPr>
          <w:p>
            <w:pPr>
              <w:pStyle w:val="13"/>
            </w:pPr>
          </w:p>
        </w:tc>
        <w:tc>
          <w:tcPr>
            <w:tcW w:w="2551"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4.80</w:t>
            </w:r>
          </w:p>
        </w:tc>
        <w:tc>
          <w:tcPr>
            <w:tcW w:w="2551" w:type="dxa"/>
            <w:vAlign w:val="center"/>
          </w:tcPr>
          <w:p>
            <w:pPr>
              <w:pStyle w:val="13"/>
            </w:pPr>
          </w:p>
        </w:tc>
        <w:tc>
          <w:tcPr>
            <w:tcW w:w="2551" w:type="dxa"/>
            <w:vAlign w:val="center"/>
          </w:tcPr>
          <w:p>
            <w:pPr>
              <w:pStyle w:val="13"/>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昌黎县生态保护服务中心本级2023年单位预算信息公开情况说明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《地方预决算公开操作规程》和《关于进一步推进预算公开工作的实施意见》规定，现将昌黎县生态保护服务中心本级2023年单位预算公开如下：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负责制定大气、水体、固体废物、化学品等污染防治管理制度并组织实施，会同有关部门监督管理饮用水水源地环境保护。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昌黎县生态保护服务中心本级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按照预算管理有关规定，目前我县单位预算的编制实行综合预算制度，即全部收入和支出都反映在预算中。昌黎县生态保护服务中心的收支包含在单位预算中。</w:t>
      </w:r>
    </w:p>
    <w:p>
      <w:pPr>
        <w:pStyle w:val="28"/>
      </w:pPr>
      <w:r>
        <w:t>2023年单位预算安排114.539832万元（其中：一般公共预算拨款114.53983万元，政府性基金预算拨款0万元）。</w:t>
      </w:r>
    </w:p>
    <w:p>
      <w:pPr>
        <w:pStyle w:val="28"/>
      </w:pPr>
      <w:r>
        <w:t>（一）收入说明</w:t>
      </w:r>
    </w:p>
    <w:p>
      <w:pPr>
        <w:pStyle w:val="28"/>
      </w:pPr>
      <w:r>
        <w:t>反映本单位当年全部收入。2023年预算总收入为115万元，其中：财政拨款收入115万元。</w:t>
      </w:r>
    </w:p>
    <w:p>
      <w:pPr>
        <w:pStyle w:val="28"/>
      </w:pPr>
      <w:r>
        <w:t>（二）支出说明</w:t>
      </w:r>
    </w:p>
    <w:p>
      <w:pPr>
        <w:pStyle w:val="28"/>
      </w:pPr>
      <w:r>
        <w:t>收支预算总表支出栏、基本支出表、项目支出表按经济分类和支出功能分类科目编制，反映昌黎县生态保护服务中心年度单位预算中支出预算的总体情况。2023年预算总支出为103.00837万元，其中：基本支出103.00837万元，包括人员经费70.270663万元和日常公用经费32.737707万元。</w:t>
      </w:r>
    </w:p>
    <w:p>
      <w:pPr>
        <w:pStyle w:val="28"/>
      </w:pPr>
      <w:r>
        <w:t>（三）比上年增减情况</w:t>
      </w:r>
    </w:p>
    <w:p>
      <w:pPr>
        <w:pStyle w:val="28"/>
      </w:pPr>
      <w:r>
        <w:t>2023年预算收支安排114.53983万元，较2022年预算115万元减少0.46017万元，其中：基本支出增加39.469169万元，主要原因为工作人员调入、工资标准提高增加了人员经费支出。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我单位2023年度机关运行经费预算安排4.5万元，其中：办公费3万元、公务用车运行维护费1万元、其他商品和服务支出0.5万元。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2023年单位预算三公经费预算安排1万元，具体如下：</w:t>
      </w:r>
    </w:p>
    <w:p>
      <w:pPr>
        <w:pStyle w:val="30"/>
      </w:pPr>
      <w:r>
        <w:t>因公出国（境）费用预算安排0.00万元;</w:t>
      </w:r>
    </w:p>
    <w:p>
      <w:pPr>
        <w:pStyle w:val="30"/>
      </w:pPr>
      <w:r>
        <w:t xml:space="preserve">公务用车购置及运行维护费预算安排合计1万元（其中：公务用车购置预算安排0.00万元，公务用车运行维护费预算安排1万元）; </w:t>
      </w:r>
    </w:p>
    <w:p>
      <w:pPr>
        <w:pStyle w:val="30"/>
      </w:pPr>
      <w:r>
        <w:t>公务接待费预算安排0.00万元。</w:t>
      </w:r>
    </w:p>
    <w:p>
      <w:pPr>
        <w:pStyle w:val="30"/>
      </w:pPr>
      <w:r>
        <w:t>与2022年预算安排相比，减少了3万元，同比减少75%。其中：因公出国（境）费用与上年持平，预算安排0.00万元；公务用车购置及运行维护费与上年减少1.5万元，同比下降75%；公务接待费与上年减少1.5万元。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1、秦皇岛市昌黎县22个傍河村庄生活污水治理工程绩效目标表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范围主要包括昌黎县6个乡镇，22个村庄的农村污水综合治理工程，主要建设内容包括隔油沉淀设备、污水收集管网及回用管网的敷设等。对各户产生的生活污水进行收集，排入隔油沉淀设备内进行处理，共建设全地下式隔油沉淀设备5533套，铺装5533户DN150 PVC污水管82995m，DN20PPR回用水管44264m。使治理后的出水水质达到《农田灌溉水质标准》（GB5084-2021）中的旱地作物浇灌标准。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受益村庄数</w:t>
            </w:r>
          </w:p>
        </w:tc>
        <w:tc>
          <w:tcPr>
            <w:tcW w:w="2835" w:type="dxa"/>
            <w:vAlign w:val="center"/>
          </w:tcPr>
          <w:p>
            <w:pPr>
              <w:pStyle w:val="14"/>
            </w:pPr>
            <w:r>
              <w:t>受益村庄数</w:t>
            </w:r>
          </w:p>
        </w:tc>
        <w:tc>
          <w:tcPr>
            <w:tcW w:w="2551" w:type="dxa"/>
            <w:vAlign w:val="center"/>
          </w:tcPr>
          <w:p>
            <w:pPr>
              <w:pStyle w:val="14"/>
            </w:pPr>
            <w:r>
              <w:t>22个</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符合建筑工程质量验收规范合格标准</w:t>
            </w:r>
          </w:p>
        </w:tc>
        <w:tc>
          <w:tcPr>
            <w:tcW w:w="2835" w:type="dxa"/>
            <w:vAlign w:val="center"/>
          </w:tcPr>
          <w:p>
            <w:pPr>
              <w:pStyle w:val="14"/>
            </w:pPr>
            <w:r>
              <w:t>符合建筑工程质量验收规范合格标准</w:t>
            </w:r>
          </w:p>
        </w:tc>
        <w:tc>
          <w:tcPr>
            <w:tcW w:w="2551" w:type="dxa"/>
            <w:vAlign w:val="center"/>
          </w:tcPr>
          <w:p>
            <w:pPr>
              <w:pStyle w:val="14"/>
            </w:pPr>
            <w:r>
              <w:t>≥100%</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1087万元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2、秦皇岛市昌黎县饮马河故道水生态环境保护修复工程绩效目标表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1.通过治理措施与行政制度管控，阻控面源污染物对故道水质的影响，进一步改善故道水生态环境，确保饮马河国考断面水质长期稳定维持或优于《地表水环境质量标准》Ⅲ类水标准。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水生植被修复面积（m2）</w:t>
            </w:r>
          </w:p>
        </w:tc>
        <w:tc>
          <w:tcPr>
            <w:tcW w:w="2835" w:type="dxa"/>
            <w:vAlign w:val="center"/>
          </w:tcPr>
          <w:p>
            <w:pPr>
              <w:pStyle w:val="14"/>
            </w:pPr>
            <w:r>
              <w:t>水生植被修复面积（m2）</w:t>
            </w:r>
          </w:p>
        </w:tc>
        <w:tc>
          <w:tcPr>
            <w:tcW w:w="2551" w:type="dxa"/>
            <w:vAlign w:val="center"/>
          </w:tcPr>
          <w:p>
            <w:pPr>
              <w:pStyle w:val="14"/>
            </w:pPr>
            <w:r>
              <w:t>28070平米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河道及护岸生态修整长度（m）</w:t>
            </w:r>
          </w:p>
        </w:tc>
        <w:tc>
          <w:tcPr>
            <w:tcW w:w="2835" w:type="dxa"/>
            <w:vAlign w:val="center"/>
          </w:tcPr>
          <w:p>
            <w:pPr>
              <w:pStyle w:val="14"/>
            </w:pPr>
            <w:r>
              <w:t>河道及护岸生态修整长度（m）</w:t>
            </w:r>
          </w:p>
        </w:tc>
        <w:tc>
          <w:tcPr>
            <w:tcW w:w="2551" w:type="dxa"/>
            <w:vAlign w:val="center"/>
          </w:tcPr>
          <w:p>
            <w:pPr>
              <w:pStyle w:val="14"/>
            </w:pPr>
            <w:r>
              <w:t>7000平米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国考断面达到或优于Ⅲ类水体断面比例</w:t>
            </w:r>
          </w:p>
        </w:tc>
        <w:tc>
          <w:tcPr>
            <w:tcW w:w="2835" w:type="dxa"/>
            <w:vAlign w:val="center"/>
          </w:tcPr>
          <w:p>
            <w:pPr>
              <w:pStyle w:val="14"/>
            </w:pPr>
            <w:r>
              <w:t>国考断面达到或优于Ⅲ类水体断面比例</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国考断面劣Ⅴ类水体断面</w:t>
            </w:r>
          </w:p>
        </w:tc>
        <w:tc>
          <w:tcPr>
            <w:tcW w:w="2835" w:type="dxa"/>
            <w:vAlign w:val="center"/>
          </w:tcPr>
          <w:p>
            <w:pPr>
              <w:pStyle w:val="14"/>
            </w:pPr>
            <w:r>
              <w:t>国考断面劣Ⅴ类水体断面</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1437万元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3、秦皇岛市昌黎县饮马河支流沿沟河道生态修复工程绩效目标表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1.受损基底清挖2.1万m3</w:t>
            </w:r>
          </w:p>
          <w:p>
            <w:pPr>
              <w:pStyle w:val="14"/>
            </w:pPr>
          </w:p>
          <w:p>
            <w:pPr>
              <w:pStyle w:val="14"/>
            </w:pPr>
            <w:r>
              <w:t>2.卵砾石生态河床构建31000m2</w:t>
            </w:r>
          </w:p>
          <w:p>
            <w:pPr>
              <w:pStyle w:val="14"/>
            </w:pPr>
          </w:p>
          <w:p>
            <w:pPr>
              <w:pStyle w:val="14"/>
            </w:pPr>
            <w:r>
              <w:t>3.建设表流湿地17982m2</w:t>
            </w:r>
          </w:p>
          <w:p>
            <w:pPr>
              <w:pStyle w:val="14"/>
            </w:pPr>
          </w:p>
          <w:p>
            <w:pPr>
              <w:pStyle w:val="14"/>
            </w:pPr>
            <w:r>
              <w:t>4.种植水生植物66624m2</w:t>
            </w:r>
          </w:p>
          <w:p>
            <w:pPr>
              <w:pStyle w:val="14"/>
            </w:pPr>
          </w:p>
          <w:p>
            <w:pPr>
              <w:pStyle w:val="14"/>
            </w:pPr>
            <w:r>
              <w:t>5.生态护坡32650m2</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水生植被修复面积（m2）</w:t>
            </w:r>
          </w:p>
        </w:tc>
        <w:tc>
          <w:tcPr>
            <w:tcW w:w="2835" w:type="dxa"/>
            <w:vAlign w:val="center"/>
          </w:tcPr>
          <w:p>
            <w:pPr>
              <w:pStyle w:val="14"/>
            </w:pPr>
            <w:r>
              <w:t>水生植被修复面积（m2）</w:t>
            </w:r>
          </w:p>
        </w:tc>
        <w:tc>
          <w:tcPr>
            <w:tcW w:w="2551" w:type="dxa"/>
            <w:vAlign w:val="center"/>
          </w:tcPr>
          <w:p>
            <w:pPr>
              <w:pStyle w:val="14"/>
            </w:pPr>
            <w:r>
              <w:t>66624平米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河道及护岸生态修整长度（m）</w:t>
            </w:r>
          </w:p>
        </w:tc>
        <w:tc>
          <w:tcPr>
            <w:tcW w:w="2835" w:type="dxa"/>
            <w:vAlign w:val="center"/>
          </w:tcPr>
          <w:p>
            <w:pPr>
              <w:pStyle w:val="14"/>
            </w:pPr>
            <w:r>
              <w:t>河道及护岸生态修整长度（m）</w:t>
            </w:r>
          </w:p>
        </w:tc>
        <w:tc>
          <w:tcPr>
            <w:tcW w:w="2551" w:type="dxa"/>
            <w:vAlign w:val="center"/>
          </w:tcPr>
          <w:p>
            <w:pPr>
              <w:pStyle w:val="14"/>
            </w:pPr>
            <w:r>
              <w:t>12600平米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表流湿地（m2）</w:t>
            </w:r>
          </w:p>
        </w:tc>
        <w:tc>
          <w:tcPr>
            <w:tcW w:w="2835" w:type="dxa"/>
            <w:vAlign w:val="center"/>
          </w:tcPr>
          <w:p>
            <w:pPr>
              <w:pStyle w:val="14"/>
            </w:pPr>
            <w:r>
              <w:t>表流湿地（m2）</w:t>
            </w:r>
          </w:p>
        </w:tc>
        <w:tc>
          <w:tcPr>
            <w:tcW w:w="2551" w:type="dxa"/>
            <w:vAlign w:val="center"/>
          </w:tcPr>
          <w:p>
            <w:pPr>
              <w:pStyle w:val="14"/>
            </w:pPr>
            <w:r>
              <w:t>17982平米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国考断面达到或优于Ⅲ类水体断面比例</w:t>
            </w:r>
          </w:p>
        </w:tc>
        <w:tc>
          <w:tcPr>
            <w:tcW w:w="2835" w:type="dxa"/>
            <w:vAlign w:val="center"/>
          </w:tcPr>
          <w:p>
            <w:pPr>
              <w:pStyle w:val="14"/>
            </w:pPr>
            <w:r>
              <w:t>国考断面达到或优于Ⅲ类水体断面比例</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国考断面劣Ⅴ类水体断面</w:t>
            </w:r>
          </w:p>
        </w:tc>
        <w:tc>
          <w:tcPr>
            <w:tcW w:w="2835" w:type="dxa"/>
            <w:vAlign w:val="center"/>
          </w:tcPr>
          <w:p>
            <w:pPr>
              <w:pStyle w:val="14"/>
            </w:pPr>
            <w:r>
              <w:t>国考断面劣Ⅴ类水体断面</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2809万元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2023年，昌黎县生态保护服务中心本级安排政府采购预算0.00万元。具体内容见下表。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468001昌黎县生态保护服务中心本级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B2A97"/>
    <w:rsid w:val="612C10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2023-03-13T15:44:49Z</dcterms:created>
  <dcterms:modified xsi:type="dcterms:W3CDTF">2023-03-13T07:44:49Z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2023-03-13T15:44:51Z</dcterms:created>
  <dcterms:modified xsi:type="dcterms:W3CDTF">2023-03-13T07:44:51Z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2023-03-13T15:44:54Z</dcterms:created>
  <dcterms:modified xsi:type="dcterms:W3CDTF">2023-03-13T07:44:54Z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32b51bc-8fbc-4e18-8dbd-fa40d664dfab}">
  <ds:schemaRefs/>
</ds:datastoreItem>
</file>

<file path=customXml/itemProps11.xml><?xml version="1.0" encoding="utf-8"?>
<ds:datastoreItem xmlns:ds="http://schemas.openxmlformats.org/officeDocument/2006/customXml" ds:itemID="{455dcb6c-b9b1-4183-81f3-e253f16a403c}">
  <ds:schemaRefs/>
</ds:datastoreItem>
</file>

<file path=customXml/itemProps12.xml><?xml version="1.0" encoding="utf-8"?>
<ds:datastoreItem xmlns:ds="http://schemas.openxmlformats.org/officeDocument/2006/customXml" ds:itemID="{3a92c97f-35e1-4ce3-96f3-961f8f8142b5}">
  <ds:schemaRefs/>
</ds:datastoreItem>
</file>

<file path=customXml/itemProps13.xml><?xml version="1.0" encoding="utf-8"?>
<ds:datastoreItem xmlns:ds="http://schemas.openxmlformats.org/officeDocument/2006/customXml" ds:itemID="{4d996302-f4d1-44e1-bd41-330fbd27834b}">
  <ds:schemaRefs/>
</ds:datastoreItem>
</file>

<file path=customXml/itemProps14.xml><?xml version="1.0" encoding="utf-8"?>
<ds:datastoreItem xmlns:ds="http://schemas.openxmlformats.org/officeDocument/2006/customXml" ds:itemID="{e3b6dbbb-4662-40cb-83d5-4f95b301893f}">
  <ds:schemaRefs/>
</ds:datastoreItem>
</file>

<file path=customXml/itemProps15.xml><?xml version="1.0" encoding="utf-8"?>
<ds:datastoreItem xmlns:ds="http://schemas.openxmlformats.org/officeDocument/2006/customXml" ds:itemID="{bb8d467a-f90a-4e11-aa7c-db2422ccc4f3}">
  <ds:schemaRefs/>
</ds:datastoreItem>
</file>

<file path=customXml/itemProps16.xml><?xml version="1.0" encoding="utf-8"?>
<ds:datastoreItem xmlns:ds="http://schemas.openxmlformats.org/officeDocument/2006/customXml" ds:itemID="{0da07ab1-c895-4040-a2fc-3e6465b44a21}">
  <ds:schemaRefs/>
</ds:datastoreItem>
</file>

<file path=customXml/itemProps17.xml><?xml version="1.0" encoding="utf-8"?>
<ds:datastoreItem xmlns:ds="http://schemas.openxmlformats.org/officeDocument/2006/customXml" ds:itemID="{5c080cd0-539d-460f-8853-c474a8bc4c0c}">
  <ds:schemaRefs/>
</ds:datastoreItem>
</file>

<file path=customXml/itemProps18.xml><?xml version="1.0" encoding="utf-8"?>
<ds:datastoreItem xmlns:ds="http://schemas.openxmlformats.org/officeDocument/2006/customXml" ds:itemID="{371488fe-abff-4c70-b2ea-ac56652e2cd9}">
  <ds:schemaRefs/>
</ds:datastoreItem>
</file>

<file path=customXml/itemProps19.xml><?xml version="1.0" encoding="utf-8"?>
<ds:datastoreItem xmlns:ds="http://schemas.openxmlformats.org/officeDocument/2006/customXml" ds:itemID="{ae1b6c58-637f-4bf4-b0d2-8d0eea218293}">
  <ds:schemaRefs/>
</ds:datastoreItem>
</file>

<file path=customXml/itemProps2.xml><?xml version="1.0" encoding="utf-8"?>
<ds:datastoreItem xmlns:ds="http://schemas.openxmlformats.org/officeDocument/2006/customXml" ds:itemID="{d33b90e5-01d3-4a35-af41-20ac7b31a051}">
  <ds:schemaRefs/>
</ds:datastoreItem>
</file>

<file path=customXml/itemProps20.xml><?xml version="1.0" encoding="utf-8"?>
<ds:datastoreItem xmlns:ds="http://schemas.openxmlformats.org/officeDocument/2006/customXml" ds:itemID="{36bdbf39-7452-4d04-91b4-597490376699}">
  <ds:schemaRefs/>
</ds:datastoreItem>
</file>

<file path=customXml/itemProps21.xml><?xml version="1.0" encoding="utf-8"?>
<ds:datastoreItem xmlns:ds="http://schemas.openxmlformats.org/officeDocument/2006/customXml" ds:itemID="{24029b18-3737-422f-a9c2-de8ac2116fff}">
  <ds:schemaRefs/>
</ds:datastoreItem>
</file>

<file path=customXml/itemProps22.xml><?xml version="1.0" encoding="utf-8"?>
<ds:datastoreItem xmlns:ds="http://schemas.openxmlformats.org/officeDocument/2006/customXml" ds:itemID="{4a9799ce-344c-4e2f-81fa-8a109c57bbf5}">
  <ds:schemaRefs/>
</ds:datastoreItem>
</file>

<file path=customXml/itemProps23.xml><?xml version="1.0" encoding="utf-8"?>
<ds:datastoreItem xmlns:ds="http://schemas.openxmlformats.org/officeDocument/2006/customXml" ds:itemID="{d409f8ce-f653-4742-b6f8-d32f24119b94}">
  <ds:schemaRefs/>
</ds:datastoreItem>
</file>

<file path=customXml/itemProps3.xml><?xml version="1.0" encoding="utf-8"?>
<ds:datastoreItem xmlns:ds="http://schemas.openxmlformats.org/officeDocument/2006/customXml" ds:itemID="{37f10162-29fc-46de-9f51-dc662456239d}">
  <ds:schemaRefs/>
</ds:datastoreItem>
</file>

<file path=customXml/itemProps4.xml><?xml version="1.0" encoding="utf-8"?>
<ds:datastoreItem xmlns:ds="http://schemas.openxmlformats.org/officeDocument/2006/customXml" ds:itemID="{7b9e4954-f802-417c-998d-bcd9de4c36b4}">
  <ds:schemaRefs/>
</ds:datastoreItem>
</file>

<file path=customXml/itemProps5.xml><?xml version="1.0" encoding="utf-8"?>
<ds:datastoreItem xmlns:ds="http://schemas.openxmlformats.org/officeDocument/2006/customXml" ds:itemID="{5c1635a8-9a78-42ac-99ab-4fce7171bf04}">
  <ds:schemaRefs/>
</ds:datastoreItem>
</file>

<file path=customXml/itemProps6.xml><?xml version="1.0" encoding="utf-8"?>
<ds:datastoreItem xmlns:ds="http://schemas.openxmlformats.org/officeDocument/2006/customXml" ds:itemID="{ebfa4569-e190-4dac-898c-de731cb8555f}">
  <ds:schemaRefs/>
</ds:datastoreItem>
</file>

<file path=customXml/itemProps7.xml><?xml version="1.0" encoding="utf-8"?>
<ds:datastoreItem xmlns:ds="http://schemas.openxmlformats.org/officeDocument/2006/customXml" ds:itemID="{9f249179-e5d9-461c-8b79-026ef453bb17}">
  <ds:schemaRefs/>
</ds:datastoreItem>
</file>

<file path=customXml/itemProps8.xml><?xml version="1.0" encoding="utf-8"?>
<ds:datastoreItem xmlns:ds="http://schemas.openxmlformats.org/officeDocument/2006/customXml" ds:itemID="{7fb6432f-4c20-4c2f-b2b9-48153f95dcaa}">
  <ds:schemaRefs/>
</ds:datastoreItem>
</file>

<file path=customXml/itemProps9.xml><?xml version="1.0" encoding="utf-8"?>
<ds:datastoreItem xmlns:ds="http://schemas.openxmlformats.org/officeDocument/2006/customXml" ds:itemID="{53439bef-0774-4ee4-9dd0-6aff0a170de3}">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2023-03-13T15:44:00Z</dcterms:created>
  <dc:creator>a</dc:creator>
  <cp:lastModifiedBy>Administrator</cp:lastModifiedBy>
  <dcterms:modified xsi:type="dcterms:W3CDTF">2026-05-15T06:28:15Z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B4D70968934B41958C0DA10515261ED4</vt:lpwstr>
  </property>
</Properties>
</file>